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976C4">
      <w:pPr>
        <w:spacing w:line="640" w:lineRule="exact"/>
        <w:jc w:val="center"/>
        <w:rPr>
          <w:rFonts w:hint="eastAsia" w:ascii="黑体" w:hAnsi="黑体" w:eastAsia="黑体"/>
          <w:sz w:val="44"/>
          <w:szCs w:val="44"/>
        </w:rPr>
      </w:pPr>
      <w:r>
        <w:rPr>
          <w:rFonts w:hint="eastAsia" w:ascii="黑体" w:hAnsi="黑体" w:eastAsia="黑体"/>
          <w:sz w:val="44"/>
          <w:szCs w:val="44"/>
        </w:rPr>
        <w:t>山东理工大学国际中文教育</w:t>
      </w:r>
    </w:p>
    <w:p w14:paraId="610E02CF">
      <w:pPr>
        <w:spacing w:before="156" w:beforeLines="50" w:after="156" w:afterLines="50" w:line="560" w:lineRule="exact"/>
        <w:jc w:val="center"/>
        <w:rPr>
          <w:rFonts w:hint="eastAsia" w:ascii="黑体" w:hAnsi="黑体" w:eastAsia="黑体"/>
          <w:sz w:val="44"/>
          <w:szCs w:val="44"/>
        </w:rPr>
      </w:pPr>
      <w:r>
        <w:rPr>
          <w:rFonts w:hint="eastAsia" w:ascii="黑体" w:hAnsi="黑体" w:eastAsia="黑体"/>
          <w:sz w:val="44"/>
          <w:szCs w:val="44"/>
        </w:rPr>
        <w:t>全日制专业</w:t>
      </w:r>
      <w:bookmarkStart w:id="4" w:name="_GoBack"/>
      <w:bookmarkEnd w:id="4"/>
      <w:r>
        <w:rPr>
          <w:rFonts w:hint="eastAsia" w:ascii="黑体" w:hAnsi="黑体" w:eastAsia="黑体"/>
          <w:sz w:val="44"/>
          <w:szCs w:val="44"/>
        </w:rPr>
        <w:t>硕士留学</w:t>
      </w:r>
      <w:r>
        <w:rPr>
          <w:rFonts w:ascii="黑体" w:hAnsi="黑体" w:eastAsia="黑体"/>
          <w:sz w:val="44"/>
          <w:szCs w:val="44"/>
        </w:rPr>
        <w:t>研究生培养方案</w:t>
      </w:r>
    </w:p>
    <w:p w14:paraId="718EB595">
      <w:pPr>
        <w:spacing w:before="156" w:beforeLines="50" w:after="156" w:afterLines="50" w:line="560" w:lineRule="exact"/>
        <w:jc w:val="center"/>
        <w:rPr>
          <w:rFonts w:hint="eastAsia" w:ascii="黑体" w:hAnsi="黑体" w:eastAsia="黑体"/>
          <w:color w:val="000000"/>
          <w:sz w:val="28"/>
          <w:szCs w:val="28"/>
        </w:rPr>
      </w:pPr>
      <w:r>
        <w:rPr>
          <w:rFonts w:hint="eastAsia" w:ascii="黑体" w:hAnsi="黑体" w:eastAsia="黑体"/>
          <w:color w:val="000000"/>
          <w:sz w:val="28"/>
          <w:szCs w:val="28"/>
        </w:rPr>
        <w:t>类别代码</w:t>
      </w:r>
      <w:r>
        <w:rPr>
          <w:rFonts w:ascii="黑体" w:hAnsi="黑体" w:eastAsia="黑体"/>
          <w:color w:val="000000"/>
          <w:sz w:val="28"/>
          <w:szCs w:val="28"/>
        </w:rPr>
        <w:t>：</w:t>
      </w:r>
      <w:r>
        <w:rPr>
          <w:rFonts w:hint="eastAsia" w:ascii="黑体" w:hAnsi="黑体" w:eastAsia="黑体"/>
          <w:color w:val="000000"/>
          <w:sz w:val="28"/>
          <w:szCs w:val="28"/>
        </w:rPr>
        <w:t>0453</w:t>
      </w:r>
    </w:p>
    <w:p w14:paraId="0AD91509">
      <w:pPr>
        <w:spacing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International Chinese Education at Shandong University of Technology Full time Professional Master's Degree Program for International Graduate Students</w:t>
      </w:r>
    </w:p>
    <w:p w14:paraId="4508B025">
      <w:pPr>
        <w:spacing w:line="560" w:lineRule="exact"/>
        <w:jc w:val="center"/>
        <w:rPr>
          <w:rFonts w:ascii="Times New Roman" w:hAnsi="Times New Roman" w:eastAsia="黑体" w:cs="Times New Roman"/>
          <w:sz w:val="32"/>
          <w:szCs w:val="32"/>
        </w:rPr>
      </w:pPr>
      <w:r>
        <w:rPr>
          <w:rFonts w:ascii="Times New Roman" w:hAnsi="Times New Roman" w:eastAsia="黑体" w:cs="Times New Roman"/>
          <w:sz w:val="32"/>
          <w:szCs w:val="32"/>
        </w:rPr>
        <w:t>Category code: 0453</w:t>
      </w:r>
    </w:p>
    <w:p w14:paraId="795A45EB">
      <w:pPr>
        <w:pStyle w:val="2"/>
        <w:spacing w:before="156" w:beforeLines="50" w:after="156" w:afterLines="50" w:line="600" w:lineRule="exact"/>
        <w:ind w:firstLine="0" w:firstLineChars="0"/>
        <w:rPr>
          <w:rFonts w:ascii="Arial" w:hAnsi="Arial" w:cstheme="minorBidi"/>
          <w:b/>
          <w:color w:val="auto"/>
          <w:szCs w:val="28"/>
        </w:rPr>
      </w:pPr>
      <w:r>
        <w:rPr>
          <w:rFonts w:hint="eastAsia"/>
          <w:color w:val="auto"/>
        </w:rPr>
        <w:t>一、类别简介</w:t>
      </w:r>
      <w:r>
        <w:rPr>
          <w:rFonts w:hint="eastAsia" w:ascii="Arial" w:hAnsi="Arial" w:cstheme="minorBidi"/>
          <w:bCs/>
          <w:color w:val="auto"/>
          <w:szCs w:val="28"/>
        </w:rPr>
        <w:t>（</w:t>
      </w:r>
      <w:r>
        <w:rPr>
          <w:rFonts w:ascii="Arial" w:hAnsi="Arial" w:cstheme="minorBidi"/>
          <w:bCs/>
          <w:color w:val="auto"/>
          <w:szCs w:val="28"/>
        </w:rPr>
        <w:t>Category Introduction</w:t>
      </w:r>
      <w:r>
        <w:rPr>
          <w:rFonts w:hint="eastAsia" w:ascii="Arial" w:hAnsi="Arial" w:cstheme="minorBidi"/>
          <w:bCs/>
          <w:color w:val="auto"/>
          <w:szCs w:val="28"/>
        </w:rPr>
        <w:t>）</w:t>
      </w:r>
    </w:p>
    <w:p w14:paraId="1739375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国际中文教育</w:t>
      </w:r>
      <w:bookmarkStart w:id="0" w:name="OLE_LINK2"/>
      <w:r>
        <w:rPr>
          <w:rFonts w:hint="eastAsia" w:ascii="宋体" w:hAnsi="宋体" w:eastAsia="宋体" w:cs="宋体"/>
          <w:sz w:val="28"/>
          <w:szCs w:val="28"/>
        </w:rPr>
        <w:t>专业</w:t>
      </w:r>
      <w:bookmarkEnd w:id="0"/>
      <w:r>
        <w:rPr>
          <w:rFonts w:hint="eastAsia" w:ascii="宋体" w:hAnsi="宋体" w:eastAsia="宋体" w:cs="宋体"/>
          <w:sz w:val="28"/>
          <w:szCs w:val="28"/>
        </w:rPr>
        <w:t>植根于中华优秀传统文化，立足鲁中，面向山东，辐射全国，服务国家“一带一路”战略。在中国语言文学优势学科的孵化下，经过多年的培育，形成了师资雄厚、课程齐全、方向稳定、特色鲜明、结构合理，具有一定影响力的硕士学位点。</w:t>
      </w:r>
    </w:p>
    <w:p w14:paraId="090CDEE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山东理工大学于 2022 年获批国际中文教育专业硕士学位点，2023 年开始招生。自招生以来，该学位点依托中国语言文学、国际教育、外语等学科优势，采用“知识+技能”的培养模式，培养具有国际视野和中国情怀且能在教育、文化等领域从事国际中文教育、中华文化国际传播和跨文化交际等工作的应用型、复合型、国际化人才。学生具备汉语基础知识及国际中文教育领域的基本理论和实践技能，兼备跨文化交际、汉语国际推广与文化交流传播等能力，可在国内外学校、机关、企事业单位从事汉语教师、文化交流、涉外文秘等相关工作。目前已有3名学生参加了语合中心的外派项目，分别在蒙古、泰国等国家担任对外汉语教学。</w:t>
      </w:r>
    </w:p>
    <w:p w14:paraId="4DCFCC4F">
      <w:pPr>
        <w:spacing w:line="560" w:lineRule="exact"/>
        <w:ind w:firstLine="560" w:firstLineChars="200"/>
        <w:rPr>
          <w:rFonts w:hint="eastAsia" w:ascii="宋体" w:hAnsi="宋体" w:eastAsia="宋体" w:cs="宋体"/>
          <w:sz w:val="28"/>
          <w:szCs w:val="28"/>
        </w:rPr>
      </w:pPr>
      <w:r>
        <w:rPr>
          <w:rFonts w:hint="eastAsia" w:ascii="宋体" w:hAnsi="宋体" w:eastAsia="宋体" w:cs="宋体"/>
          <w:bCs/>
          <w:sz w:val="28"/>
          <w:szCs w:val="28"/>
        </w:rPr>
        <w:t>现有专任教师30人，其中教授9人、副教授10人、博士26人、研究生导师21人。近5年专任教师承担国家社科基金项目11项、省部级项目17项，发表高水平论文200余篇，出版著作12部，获省部级科研奖励4项。</w:t>
      </w:r>
      <w:r>
        <w:rPr>
          <w:rFonts w:hint="eastAsia" w:ascii="宋体" w:hAnsi="宋体" w:eastAsia="宋体" w:cs="宋体"/>
          <w:sz w:val="28"/>
          <w:szCs w:val="28"/>
        </w:rPr>
        <w:t>省级学术骨干1人，山东省签约评论家1人，山东省中国语言文学类专业教学指导委员会委员1人，山东省语言学会会员3人。已在汉语言文字学、对比语言学、对外汉语教学、齐文化研究与传播、中华学术外译等研究领域取得显著成果，产生了较大影响。</w:t>
      </w:r>
    </w:p>
    <w:p w14:paraId="37DDD9BA">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International Chinese education is rooted in the excellent traditional Chinese culture, based in central Shandong, facing Shandong, radiating across the country, and serving the national "the Belt and Road" strategy. Under the incubation of advantageous disciplines in Chinese language and literature, and after years of cultivation, a master's degree program with strong faculty, complete courses, stable direction, distinctive characteristics, reasonable structure, and certain influence has been formed.</w:t>
      </w:r>
    </w:p>
    <w:p w14:paraId="54F6850B">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Shandong University of Technology was approved as a Master's degree program in International Chinese Education in 2022, and enrollment will begin in 2023. Since enrollment, this degree program has relied on the advantages of Chinese language and literature, international education, foreign languages, and other disciplines, adopting a "knowledge+skills" training model to cultivate applied, composite, and international talents with international perspectives and Chinese sentiments who can engage in international Chinese education, international dissemination of Chinese culture, and cross-cultural communication in the fields of education and culture. Students possess basic knowledge of Chinese language and fundamental theoretical and practical skills in the field of international Chinese education, as well as abilities in cross-cultural communication, international promotion of Chinese language, and cultural exchange and dissemination. They can work as Chinese language teachers, cultural exchange, and foreign-related secretaries in schools, government agencies, enterprises, and institutions both domestically and internationally. Currently, three students have participated in the Language Cooperation Center's overseas programs, teaching Chinese as a foreign language in countries such as Mongolia and Thailand.</w:t>
      </w:r>
    </w:p>
    <w:p w14:paraId="105AD3FC">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There are currently 30 full-time teachers, including 9 professors, 10 associate professors, 26 PhDs, and 21 graduate supervisors. In the past 5 years, full-time teachers have undertaken 11 national social science fund projects and 17 provincial and ministerial level projects, published more than 200 high-level papers, authored 12 works, and received 4 provincial and ministerial level scientific research awards. One provincial-level academic backbone, one contracted critic in Shandong Province, one member of the Teaching Guidance Committee for Chinese Language and Literature Majors in Shandong Province, and three members of the Shandong Language Society. Significant achievements have been made in the fields of Chinese linguistics, comparative linguistics, teaching Chinese as a foreign language, Qi culture research and dissemination, and Chinese academic translation, which have had a significant impact.</w:t>
      </w:r>
    </w:p>
    <w:p w14:paraId="07832DFC">
      <w:pPr>
        <w:pStyle w:val="2"/>
        <w:spacing w:before="156" w:beforeLines="50" w:after="156" w:afterLines="50" w:line="600" w:lineRule="exact"/>
        <w:ind w:firstLine="0" w:firstLineChars="0"/>
        <w:rPr>
          <w:bCs/>
          <w:color w:val="auto"/>
        </w:rPr>
      </w:pPr>
      <w:r>
        <w:rPr>
          <w:rFonts w:hint="eastAsia"/>
          <w:color w:val="auto"/>
        </w:rPr>
        <w:t>二、培养目标</w:t>
      </w:r>
      <w:r>
        <w:rPr>
          <w:rFonts w:hint="eastAsia" w:ascii="Arial" w:hAnsi="Arial" w:cstheme="minorBidi"/>
          <w:bCs/>
          <w:color w:val="auto"/>
          <w:szCs w:val="28"/>
        </w:rPr>
        <w:t xml:space="preserve">（Educational Objectives）   </w:t>
      </w:r>
    </w:p>
    <w:p w14:paraId="4E87E24E">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本类别造就有优良品德、宽广胸怀、崇高境界、深厚情怀、责任担当，有中文作为第二语言教育创新理论实践素养，多学科交叉融合知识结构，善于通过理论学习进行教学实践反思应用，有良好的中文教学、文化传播、跨文化协作能力和自主专业发展能力，胜任国内外国际岗位多种教学和管理任务的复合型、国际型、专业化高层次应用人才。</w:t>
      </w:r>
    </w:p>
    <w:p w14:paraId="4E01A84C">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1.热爱中国文化，知华友华爱华；具有社会责任感，遵纪守法，品德良好，身心健康；愿意服务经济社会和文化发展。</w:t>
      </w:r>
    </w:p>
    <w:p w14:paraId="30A23CE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2.有系统扎实的中文和习得知识、较好的中华文化素养和外语水平。</w:t>
      </w:r>
    </w:p>
    <w:p w14:paraId="5B076D31">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3.有熟练的国际中文教育技能，包括语言表达、课堂组织、教材编写应用、教育管理和评估、现代教育技术应用、教学反思和研究等能力。</w:t>
      </w:r>
    </w:p>
    <w:p w14:paraId="46F4D3A2">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4.有较强的文化传播和跨文化交际能力，能适应海内外教学岗位环境。</w:t>
      </w:r>
    </w:p>
    <w:p w14:paraId="3967B7B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5.具有语言文化国际推广项目的管理、组织与协调能力。</w:t>
      </w:r>
    </w:p>
    <w:p w14:paraId="5B005E85">
      <w:pPr>
        <w:spacing w:line="500" w:lineRule="exact"/>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This category cultivates composite, international, and specialized high-level applied talents with excellent moral character, broad mindedness, lofty realm, profound emotions, and sense of responsibility. They possess innovative theoretical and practical literacy in Chinese as a second language education, interdisciplinary and integrated knowledge structure, are good at reflecting and applying teaching practice through theoretical learning, have good abilities in Chinese teaching, cultural dissemination, cross-cultural collaboration, and independent professional development, and are competent for various teaching and management tasks in domestic and international positions.</w:t>
      </w:r>
    </w:p>
    <w:p w14:paraId="3836E923">
      <w:pPr>
        <w:spacing w:line="500" w:lineRule="exact"/>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1. Love Chinese culture, know China, be friends with China, and love China; Having a sense of social responsibility, abiding by laws and regulations, having good moral character, and maintaining physical and mental health; Willing to serve economic, social, and cultural development.</w:t>
      </w:r>
    </w:p>
    <w:p w14:paraId="2D9AAEDF">
      <w:pPr>
        <w:spacing w:line="500" w:lineRule="exact"/>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2. Have a solid foundation in Chinese language and acquired knowledge, good Chinese cultural literacy and foreign language proficiency.</w:t>
      </w:r>
    </w:p>
    <w:p w14:paraId="22335B9C">
      <w:pPr>
        <w:spacing w:line="500" w:lineRule="exact"/>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3. Proficient in international Chinese language education skills, including language expression, classroom organization, textbook writing and application, educational management and evaluation, application of modern educational technology, teaching reflection and research abilities.</w:t>
      </w:r>
    </w:p>
    <w:p w14:paraId="274E24CC">
      <w:pPr>
        <w:spacing w:line="500" w:lineRule="exact"/>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4. Strong cultural dissemination and cross-cultural communication skills, able to adapt to teaching environments both domestically and internationally.</w:t>
      </w:r>
    </w:p>
    <w:p w14:paraId="7BE677A1">
      <w:pPr>
        <w:spacing w:line="500" w:lineRule="exact"/>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5. Have the ability to manage, organize, and coordinate international language and cultural promotion projects.</w:t>
      </w:r>
    </w:p>
    <w:p w14:paraId="53884D4E">
      <w:pPr>
        <w:pStyle w:val="2"/>
        <w:spacing w:before="156" w:beforeLines="50" w:after="156" w:afterLines="50" w:line="600" w:lineRule="exact"/>
        <w:ind w:firstLine="0" w:firstLineChars="0"/>
        <w:rPr>
          <w:rFonts w:ascii="Arial" w:hAnsi="Arial" w:cstheme="minorBidi"/>
          <w:bCs/>
          <w:color w:val="auto"/>
          <w:szCs w:val="28"/>
        </w:rPr>
      </w:pPr>
      <w:r>
        <w:rPr>
          <w:rFonts w:hint="eastAsia"/>
          <w:color w:val="auto"/>
        </w:rPr>
        <w:t>三、研究方向</w:t>
      </w:r>
      <w:r>
        <w:rPr>
          <w:rFonts w:hint="eastAsia" w:ascii="Arial" w:hAnsi="Arial" w:cstheme="minorBidi"/>
          <w:bCs/>
          <w:color w:val="auto"/>
          <w:szCs w:val="28"/>
        </w:rPr>
        <w:t>（</w:t>
      </w:r>
      <w:r>
        <w:rPr>
          <w:rFonts w:ascii="Arial" w:hAnsi="Arial" w:cstheme="minorBidi"/>
          <w:bCs/>
          <w:color w:val="auto"/>
          <w:szCs w:val="28"/>
        </w:rPr>
        <w:t>Research direction</w:t>
      </w:r>
      <w:r>
        <w:rPr>
          <w:rFonts w:hint="eastAsia" w:ascii="Arial" w:hAnsi="Arial" w:cstheme="minorBidi"/>
          <w:bCs/>
          <w:color w:val="auto"/>
          <w:szCs w:val="28"/>
        </w:rPr>
        <w:t>）</w:t>
      </w:r>
    </w:p>
    <w:p w14:paraId="2F0A7FE1">
      <w:pPr>
        <w:spacing w:line="560" w:lineRule="exact"/>
        <w:ind w:firstLine="578"/>
        <w:rPr>
          <w:rFonts w:hint="eastAsia" w:asciiTheme="minorEastAsia" w:hAnsiTheme="minorEastAsia"/>
          <w:sz w:val="28"/>
          <w:szCs w:val="28"/>
        </w:rPr>
      </w:pPr>
      <w:r>
        <w:rPr>
          <w:rFonts w:hint="eastAsia" w:asciiTheme="minorEastAsia" w:hAnsiTheme="minorEastAsia"/>
          <w:sz w:val="28"/>
          <w:szCs w:val="28"/>
        </w:rPr>
        <w:t>本类别设有以下3个研究方向：</w:t>
      </w:r>
    </w:p>
    <w:p w14:paraId="40D8ACB6">
      <w:pPr>
        <w:spacing w:line="560" w:lineRule="exact"/>
        <w:ind w:firstLine="578"/>
        <w:rPr>
          <w:rFonts w:hint="eastAsia" w:asciiTheme="minorEastAsia" w:hAnsiTheme="minorEastAsia"/>
          <w:sz w:val="28"/>
          <w:szCs w:val="28"/>
        </w:rPr>
      </w:pPr>
      <w:r>
        <w:rPr>
          <w:rFonts w:hint="eastAsia" w:asciiTheme="minorEastAsia" w:hAnsiTheme="minorEastAsia"/>
          <w:sz w:val="28"/>
          <w:szCs w:val="28"/>
        </w:rPr>
        <w:t>1</w:t>
      </w:r>
      <w:r>
        <w:rPr>
          <w:rFonts w:hint="eastAsia" w:asciiTheme="minorEastAsia" w:hAnsiTheme="minorEastAsia" w:cstheme="minorEastAsia"/>
          <w:sz w:val="28"/>
          <w:szCs w:val="28"/>
        </w:rPr>
        <w:t>.</w:t>
      </w:r>
      <w:r>
        <w:rPr>
          <w:rFonts w:hint="eastAsia" w:asciiTheme="minorEastAsia" w:hAnsiTheme="minorEastAsia"/>
          <w:sz w:val="28"/>
          <w:szCs w:val="28"/>
        </w:rPr>
        <w:t>国际中文教育理论与实践</w:t>
      </w:r>
    </w:p>
    <w:p w14:paraId="53669104">
      <w:pPr>
        <w:spacing w:line="560" w:lineRule="exact"/>
        <w:ind w:firstLine="578"/>
        <w:rPr>
          <w:rFonts w:hint="eastAsia" w:asciiTheme="minorEastAsia" w:hAnsiTheme="minorEastAsia"/>
          <w:sz w:val="28"/>
          <w:szCs w:val="28"/>
        </w:rPr>
      </w:pPr>
      <w:r>
        <w:rPr>
          <w:rFonts w:asciiTheme="minorEastAsia" w:hAnsiTheme="minorEastAsia"/>
          <w:sz w:val="28"/>
          <w:szCs w:val="28"/>
        </w:rPr>
        <w:t>2</w:t>
      </w:r>
      <w:r>
        <w:rPr>
          <w:rFonts w:hint="eastAsia" w:asciiTheme="minorEastAsia" w:hAnsiTheme="minorEastAsia" w:cstheme="minorEastAsia"/>
          <w:sz w:val="28"/>
          <w:szCs w:val="28"/>
        </w:rPr>
        <w:t>.</w:t>
      </w:r>
      <w:r>
        <w:rPr>
          <w:rFonts w:hint="eastAsia" w:asciiTheme="minorEastAsia" w:hAnsiTheme="minorEastAsia"/>
          <w:sz w:val="28"/>
          <w:szCs w:val="28"/>
        </w:rPr>
        <w:t>跨文化交际</w:t>
      </w:r>
    </w:p>
    <w:p w14:paraId="20D62A8F">
      <w:pPr>
        <w:spacing w:line="560" w:lineRule="exact"/>
        <w:ind w:firstLine="578"/>
        <w:rPr>
          <w:rFonts w:hint="eastAsia" w:asciiTheme="minorEastAsia" w:hAnsiTheme="minorEastAsia"/>
          <w:sz w:val="28"/>
          <w:szCs w:val="28"/>
        </w:rPr>
      </w:pPr>
      <w:r>
        <w:rPr>
          <w:rFonts w:asciiTheme="minorEastAsia" w:hAnsiTheme="minorEastAsia"/>
          <w:sz w:val="28"/>
          <w:szCs w:val="28"/>
        </w:rPr>
        <w:t>3</w:t>
      </w:r>
      <w:r>
        <w:rPr>
          <w:rFonts w:hint="eastAsia" w:asciiTheme="minorEastAsia" w:hAnsiTheme="minorEastAsia" w:cstheme="minorEastAsia"/>
          <w:sz w:val="28"/>
          <w:szCs w:val="28"/>
        </w:rPr>
        <w:t>.</w:t>
      </w:r>
      <w:r>
        <w:rPr>
          <w:rFonts w:hint="eastAsia" w:asciiTheme="minorEastAsia" w:hAnsiTheme="minorEastAsia"/>
          <w:sz w:val="28"/>
          <w:szCs w:val="28"/>
        </w:rPr>
        <w:t>中华文化海外传播</w:t>
      </w:r>
    </w:p>
    <w:p w14:paraId="532B7D33">
      <w:pPr>
        <w:spacing w:line="560" w:lineRule="exact"/>
        <w:ind w:firstLine="578"/>
        <w:rPr>
          <w:rFonts w:hint="eastAsia" w:asciiTheme="minorEastAsia" w:hAnsiTheme="minorEastAsia"/>
          <w:sz w:val="28"/>
          <w:szCs w:val="28"/>
        </w:rPr>
      </w:pPr>
      <w:r>
        <w:rPr>
          <w:rFonts w:hint="eastAsia" w:asciiTheme="minorEastAsia" w:hAnsiTheme="minorEastAsia"/>
          <w:sz w:val="28"/>
          <w:szCs w:val="28"/>
        </w:rPr>
        <w:t>详见附表1。</w:t>
      </w:r>
    </w:p>
    <w:p w14:paraId="466EF1C8">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This category has the following three research directions:</w:t>
      </w:r>
    </w:p>
    <w:p w14:paraId="293E60D8">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1. International Chinese Education Theory and Practice</w:t>
      </w:r>
    </w:p>
    <w:p w14:paraId="59161A7B">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 Cross cultural communication</w:t>
      </w:r>
    </w:p>
    <w:p w14:paraId="4002BC9F">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3. Overseas dissemination of Chinese culture</w:t>
      </w:r>
    </w:p>
    <w:p w14:paraId="440AF4BB">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Please refer to Appendix 1 for details.</w:t>
      </w:r>
    </w:p>
    <w:p w14:paraId="735B8305">
      <w:pPr>
        <w:pStyle w:val="2"/>
        <w:spacing w:before="156" w:beforeLines="50" w:after="156" w:afterLines="50" w:line="600" w:lineRule="exact"/>
        <w:ind w:firstLine="0" w:firstLineChars="0"/>
        <w:rPr>
          <w:color w:val="auto"/>
        </w:rPr>
      </w:pPr>
      <w:r>
        <w:rPr>
          <w:rFonts w:hint="eastAsia"/>
          <w:color w:val="auto"/>
        </w:rPr>
        <w:t>四、学习年限</w:t>
      </w:r>
      <w:r>
        <w:rPr>
          <w:rFonts w:hint="eastAsia" w:ascii="Arial" w:hAnsi="Arial" w:cstheme="minorBidi"/>
          <w:bCs/>
          <w:color w:val="auto"/>
          <w:szCs w:val="28"/>
        </w:rPr>
        <w:t>（Years of study）</w:t>
      </w:r>
      <w:r>
        <w:rPr>
          <w:rFonts w:hint="eastAsia"/>
          <w:color w:val="auto"/>
        </w:rPr>
        <w:t xml:space="preserve"> </w:t>
      </w:r>
    </w:p>
    <w:p w14:paraId="18BE55E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学制3年，修业年限2-4年，学位论文撰写时间不少于1年（从开题通过之日起计算）。少数品学兼优的研究生经导师同意，可申请提前毕业，但学位论文撰写时间要求不变。休学时间不计入学习年限。</w:t>
      </w:r>
    </w:p>
    <w:p w14:paraId="58F20E6D">
      <w:pPr>
        <w:spacing w:line="500" w:lineRule="exact"/>
        <w:ind w:firstLine="560" w:firstLineChars="200"/>
        <w:rPr>
          <w:rFonts w:ascii="Times New Roman" w:hAnsi="Times New Roman" w:cs="Times New Roman"/>
          <w:sz w:val="28"/>
          <w:szCs w:val="28"/>
        </w:rPr>
      </w:pPr>
      <w:r>
        <w:rPr>
          <w:rFonts w:hint="eastAsia" w:ascii="Times New Roman" w:hAnsi="Times New Roman" w:cs="Times New Roman"/>
          <w:sz w:val="28"/>
          <w:szCs w:val="28"/>
        </w:rPr>
        <w:t>The duration of study is 3 years, with a duration of 2-4 years. The writing time for the thesis should not be less than 1 year (calculated from the date of proposal approval). A small number of graduate students who excel both academically and morally may apply for early graduation with the consent of their supervisors, but the time requirement for writing their thesis remains unchanged. The time off from school is not counted towards the length of study.</w:t>
      </w:r>
    </w:p>
    <w:p w14:paraId="59205C70">
      <w:pPr>
        <w:pStyle w:val="2"/>
        <w:spacing w:before="156" w:beforeLines="50" w:after="156" w:afterLines="50" w:line="600" w:lineRule="exact"/>
        <w:ind w:firstLine="0" w:firstLineChars="0"/>
        <w:rPr>
          <w:rFonts w:ascii="Arial" w:hAnsi="Arial" w:cstheme="minorBidi"/>
          <w:bCs/>
          <w:color w:val="auto"/>
          <w:szCs w:val="28"/>
        </w:rPr>
      </w:pPr>
      <w:r>
        <w:rPr>
          <w:rFonts w:hint="eastAsia"/>
          <w:color w:val="auto"/>
        </w:rPr>
        <w:t>五、课程设置与学分要求</w:t>
      </w:r>
      <w:r>
        <w:rPr>
          <w:rFonts w:hint="eastAsia" w:ascii="Arial" w:hAnsi="Arial" w:cstheme="minorBidi"/>
          <w:bCs/>
          <w:color w:val="auto"/>
          <w:szCs w:val="28"/>
        </w:rPr>
        <w:t>（Curriculum Design and Credit Requirements）</w:t>
      </w:r>
    </w:p>
    <w:p w14:paraId="498723A8">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课程设置以实际应用为导向，以国际汉语教师的职业需求为目标，围绕汉语教学能力、中华文化海外传播能力和跨文化交际能力的培养设置课程。</w:t>
      </w:r>
    </w:p>
    <w:p w14:paraId="606FBE3E">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课程教学实行学分制。课程分为必修课程和选修课程，研究生须在规定时间内至少完成42学分，其中，课程学分不低于32学分（必修课不低于17学分，选修课不低于15学分），其他培养环节不低于10学分。</w:t>
      </w:r>
    </w:p>
    <w:p w14:paraId="39E2450A">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跨学科攻读学位的研究生应根据导师要求至少补修2门汉语言文学专业的本科生课程，考核合格后方可参与开题答辩，成绩不计入成绩单。</w:t>
      </w:r>
    </w:p>
    <w:p w14:paraId="387F556B">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课程设置情况见附表2。</w:t>
      </w:r>
    </w:p>
    <w:p w14:paraId="07FCB9F9">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The curriculum is guided by practical application and aims to meet the professional needs of international Chinese language teachers. It focuses on the cultivation of Chinese language teaching ability, overseas dissemination ability of Chinese culture, and cross-cultural communication ability.</w:t>
      </w:r>
    </w:p>
    <w:p w14:paraId="05773F9B">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The course teaching adopts a credit system. The courses are divided into compulsory courses and elective courses. Graduate students must complete at least 42 credits within the prescribed time, of which the course credits shall not be less than 32 credits (compulsory courses shall not be less than 17 credits, elective courses shall not be less than 15 credits), and other training activities shall not be less than 10 credits.</w:t>
      </w:r>
    </w:p>
    <w:p w14:paraId="4ACFCEFC">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Graduate students pursuing interdisciplinary degrees should take at least two additional undergraduate courses in Chinese language and literature as required by their supervisors. Only after passing the assessment can they participate in the thesis defense, and their grades will not be included in the transcript.</w:t>
      </w:r>
    </w:p>
    <w:p w14:paraId="214483CC">
      <w:pPr>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The course settings are shown in Appendix 2.</w:t>
      </w:r>
    </w:p>
    <w:p w14:paraId="5C80F250">
      <w:pPr>
        <w:pStyle w:val="2"/>
        <w:spacing w:before="156" w:beforeLines="50" w:after="156" w:afterLines="50" w:line="600" w:lineRule="exact"/>
        <w:ind w:firstLine="0" w:firstLineChars="0"/>
        <w:rPr>
          <w:rFonts w:hint="eastAsia" w:ascii="黑体" w:hAnsi="黑体" w:cs="宋体"/>
          <w:szCs w:val="28"/>
        </w:rPr>
      </w:pPr>
      <w:r>
        <w:rPr>
          <w:rFonts w:hint="eastAsia"/>
          <w:color w:val="auto"/>
        </w:rPr>
        <w:t>六、培养方式与培养环节</w:t>
      </w:r>
      <w:r>
        <w:rPr>
          <w:rFonts w:hint="eastAsia" w:ascii="Arial" w:hAnsi="Arial" w:cstheme="minorBidi"/>
          <w:bCs/>
          <w:color w:val="auto"/>
          <w:szCs w:val="28"/>
        </w:rPr>
        <w:t>（Cultivation methods and stages）</w:t>
      </w:r>
    </w:p>
    <w:p w14:paraId="59DCD2A9">
      <w:pPr>
        <w:snapToGrid w:val="0"/>
        <w:spacing w:before="156" w:beforeLines="50" w:after="156" w:afterLines="50" w:line="540" w:lineRule="exact"/>
        <w:ind w:firstLine="560" w:firstLineChars="200"/>
        <w:jc w:val="left"/>
        <w:rPr>
          <w:rFonts w:hint="eastAsia" w:ascii="宋体" w:hAnsi="宋体" w:eastAsia="宋体" w:cs="宋体"/>
          <w:sz w:val="28"/>
          <w:szCs w:val="28"/>
        </w:rPr>
      </w:pPr>
      <w:r>
        <w:rPr>
          <w:rFonts w:hint="eastAsia" w:ascii="黑体" w:hAnsi="黑体" w:eastAsia="黑体" w:cs="宋体"/>
          <w:sz w:val="28"/>
          <w:szCs w:val="28"/>
        </w:rPr>
        <w:t>（一）培养方式（</w:t>
      </w:r>
      <w:r>
        <w:rPr>
          <w:rFonts w:hint="eastAsia" w:ascii="Arial" w:hAnsi="Arial" w:eastAsia="黑体"/>
          <w:bCs/>
          <w:sz w:val="28"/>
          <w:szCs w:val="28"/>
        </w:rPr>
        <w:t>Cultivation method）</w:t>
      </w:r>
    </w:p>
    <w:p w14:paraId="078A70F1">
      <w:pPr>
        <w:snapToGrid w:val="0"/>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研究生培养采用课程学习与国际中文教育相结合，国际中文教育与中华文化传播相结合，校内导师指导与校内外导师联合培养相结合的方式。校内导师不仅负责指导研究生制订培养计划，而且对研究生的思想品德、学术道德有引导、示范和监督的责任。</w:t>
      </w:r>
    </w:p>
    <w:p w14:paraId="651B9555">
      <w:pPr>
        <w:snapToGrid w:val="0"/>
        <w:spacing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Graduate education adopts a combination of curriculum learning and international Chinese education, international Chinese education and Chinese cultural dissemination, and a combination of on campus mentor guidance and joint training with on campus and off campus mentors. On campus mentors are not only responsible for guiding graduate students in developing training plans, but also have the responsibility of guiding, demonstrating, and supervising their ideological and academic ethics.</w:t>
      </w:r>
    </w:p>
    <w:p w14:paraId="6E3CB82A">
      <w:pPr>
        <w:snapToGrid w:val="0"/>
        <w:spacing w:before="156" w:beforeLines="50" w:after="156" w:afterLines="50" w:line="540" w:lineRule="exact"/>
        <w:ind w:firstLine="560" w:firstLineChars="200"/>
        <w:jc w:val="left"/>
        <w:rPr>
          <w:rFonts w:ascii="Arial" w:hAnsi="Arial" w:eastAsia="黑体"/>
          <w:bCs/>
          <w:sz w:val="28"/>
          <w:szCs w:val="28"/>
        </w:rPr>
      </w:pPr>
      <w:r>
        <w:rPr>
          <w:rFonts w:hint="eastAsia" w:ascii="黑体" w:hAnsi="黑体" w:eastAsia="黑体" w:cs="宋体"/>
          <w:sz w:val="28"/>
          <w:szCs w:val="28"/>
        </w:rPr>
        <w:t>（二）培养环节</w:t>
      </w:r>
      <w:r>
        <w:rPr>
          <w:rFonts w:hint="eastAsia" w:ascii="Arial" w:hAnsi="Arial" w:eastAsia="黑体"/>
          <w:bCs/>
          <w:sz w:val="28"/>
          <w:szCs w:val="28"/>
        </w:rPr>
        <w:t>（Training process）</w:t>
      </w:r>
    </w:p>
    <w:p w14:paraId="2A721EBE">
      <w:pPr>
        <w:snapToGrid w:val="0"/>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研究生须严格按照培养环节要求开展学习、研究和实践，导师（指导小组）需加强对培养环节的管理和监控。</w:t>
      </w:r>
    </w:p>
    <w:p w14:paraId="77121FAF">
      <w:pPr>
        <w:pStyle w:val="3"/>
        <w:ind w:firstLine="562"/>
        <w:rPr>
          <w:rFonts w:hint="eastAsia" w:ascii="宋体" w:hAnsi="宋体" w:eastAsia="宋体" w:cs="宋体"/>
          <w:b/>
          <w:szCs w:val="28"/>
        </w:rPr>
      </w:pPr>
      <w:r>
        <w:rPr>
          <w:rFonts w:hint="eastAsia" w:ascii="宋体" w:hAnsi="宋体" w:eastAsia="宋体" w:cs="宋体"/>
          <w:b/>
          <w:szCs w:val="28"/>
        </w:rPr>
        <w:t>1.开题报告</w:t>
      </w:r>
    </w:p>
    <w:p w14:paraId="0D56736A">
      <w:pPr>
        <w:widowControl/>
        <w:spacing w:line="560" w:lineRule="exact"/>
        <w:ind w:firstLine="641"/>
        <w:rPr>
          <w:rFonts w:hint="eastAsia" w:ascii="宋体" w:hAnsi="宋体" w:eastAsia="宋体" w:cs="宋体"/>
          <w:sz w:val="28"/>
          <w:szCs w:val="28"/>
        </w:rPr>
      </w:pPr>
      <w:r>
        <w:rPr>
          <w:rFonts w:hint="eastAsia" w:ascii="宋体" w:hAnsi="宋体" w:eastAsia="宋体" w:cs="宋体"/>
          <w:sz w:val="28"/>
          <w:szCs w:val="28"/>
        </w:rPr>
        <w:t>研究生在导师的指导下，通过文献阅读、学术调研，确定论文选题和研究内容，在</w:t>
      </w:r>
      <w:r>
        <w:rPr>
          <w:rFonts w:hint="eastAsia" w:ascii="宋体" w:hAnsi="宋体" w:eastAsia="宋体" w:cs="宋体"/>
          <w:bCs/>
          <w:sz w:val="28"/>
          <w:szCs w:val="28"/>
        </w:rPr>
        <w:t>第三学期</w:t>
      </w:r>
      <w:r>
        <w:rPr>
          <w:rFonts w:hint="eastAsia" w:ascii="宋体" w:hAnsi="宋体" w:eastAsia="宋体" w:cs="宋体"/>
          <w:sz w:val="28"/>
          <w:szCs w:val="28"/>
        </w:rPr>
        <w:t>完成开题报告，</w:t>
      </w:r>
      <w:r>
        <w:rPr>
          <w:rFonts w:hint="eastAsia" w:ascii="宋体" w:hAnsi="宋体" w:eastAsia="宋体" w:cs="宋体"/>
          <w:bCs/>
          <w:sz w:val="28"/>
          <w:szCs w:val="28"/>
        </w:rPr>
        <w:t>经导师同意后</w:t>
      </w:r>
      <w:r>
        <w:rPr>
          <w:rFonts w:hint="eastAsia" w:ascii="宋体" w:hAnsi="宋体" w:eastAsia="宋体" w:cs="宋体"/>
          <w:sz w:val="28"/>
          <w:szCs w:val="28"/>
        </w:rPr>
        <w:t>交由本研究方向的导师组织预开题。预开题通过后，由</w:t>
      </w:r>
      <w:r>
        <w:rPr>
          <w:rFonts w:hint="eastAsia" w:ascii="宋体" w:hAnsi="宋体" w:eastAsia="宋体" w:cs="宋体"/>
          <w:bCs/>
          <w:sz w:val="28"/>
          <w:szCs w:val="28"/>
        </w:rPr>
        <w:t>本类别</w:t>
      </w:r>
      <w:r>
        <w:rPr>
          <w:rFonts w:hint="eastAsia" w:ascii="宋体" w:hAnsi="宋体" w:eastAsia="宋体" w:cs="宋体"/>
          <w:sz w:val="28"/>
          <w:szCs w:val="28"/>
        </w:rPr>
        <w:t>5人及以上专家组成评审小组对研究生所做开题报告进行评审，提出修改意见，不通过者可在进行不少于一个月的修改后，重新提交开题报告，最晚不得晚于论文提交外审前一年。重新提交开题报告仍不通过者，终止培养。开题通过后即获得1学分。</w:t>
      </w:r>
    </w:p>
    <w:p w14:paraId="48966048">
      <w:pPr>
        <w:pStyle w:val="3"/>
        <w:ind w:firstLine="562"/>
        <w:rPr>
          <w:rFonts w:hint="eastAsia" w:ascii="宋体" w:hAnsi="宋体" w:eastAsia="宋体" w:cs="宋体"/>
          <w:b/>
          <w:szCs w:val="28"/>
        </w:rPr>
      </w:pPr>
      <w:r>
        <w:rPr>
          <w:rFonts w:hint="eastAsia" w:ascii="宋体" w:hAnsi="宋体" w:eastAsia="宋体" w:cs="宋体"/>
          <w:b/>
          <w:szCs w:val="28"/>
        </w:rPr>
        <w:t>2.中期筛选考核</w:t>
      </w:r>
    </w:p>
    <w:p w14:paraId="4BF87B87">
      <w:pPr>
        <w:widowControl/>
        <w:spacing w:line="560" w:lineRule="exact"/>
        <w:ind w:firstLine="641"/>
        <w:rPr>
          <w:rFonts w:hint="eastAsia" w:ascii="宋体" w:hAnsi="宋体" w:eastAsia="宋体" w:cs="宋体"/>
          <w:sz w:val="28"/>
          <w:szCs w:val="28"/>
        </w:rPr>
      </w:pPr>
      <w:r>
        <w:rPr>
          <w:rFonts w:hint="eastAsia" w:ascii="宋体" w:hAnsi="宋体" w:eastAsia="宋体" w:cs="宋体"/>
          <w:sz w:val="28"/>
          <w:szCs w:val="28"/>
        </w:rPr>
        <w:t>研究生课程学习结束后，以研究生培养方案为依据，对研究生的政治思想和道德品质、基础理论和专业知识、科研创新、实践能力及健康状况等进行综合考核。考核的目的是总结评价研究生入学以来的学习科研等情况，及时发现研究生培养过程中存在的问题，探讨解决问题的途径，明确今后努力的方向。中期筛选考核小组确定考核成绩为“不合格”的研究生，按照学校相关规定处理。中期筛选考核通过后即获得1学分。</w:t>
      </w:r>
    </w:p>
    <w:p w14:paraId="16A7CDED">
      <w:pPr>
        <w:pStyle w:val="3"/>
        <w:ind w:firstLine="562"/>
        <w:rPr>
          <w:rFonts w:hint="eastAsia" w:ascii="宋体" w:hAnsi="宋体" w:eastAsia="宋体" w:cs="宋体"/>
          <w:b/>
          <w:szCs w:val="28"/>
        </w:rPr>
      </w:pPr>
      <w:r>
        <w:rPr>
          <w:rFonts w:hint="eastAsia" w:ascii="宋体" w:hAnsi="宋体" w:eastAsia="宋体" w:cs="宋体"/>
          <w:b/>
          <w:szCs w:val="28"/>
        </w:rPr>
        <w:t>3.专业实践</w:t>
      </w:r>
    </w:p>
    <w:p w14:paraId="3E93B572">
      <w:pPr>
        <w:widowControl/>
        <w:spacing w:line="560" w:lineRule="exact"/>
        <w:ind w:firstLine="560" w:firstLineChars="200"/>
        <w:rPr>
          <w:rFonts w:hint="eastAsia" w:ascii="宋体" w:hAnsi="宋体" w:eastAsia="宋体" w:cs="宋体"/>
          <w:sz w:val="28"/>
          <w:szCs w:val="28"/>
        </w:rPr>
      </w:pPr>
      <w:r>
        <w:rPr>
          <w:rFonts w:hint="eastAsia" w:ascii="宋体" w:hAnsi="宋体" w:eastAsia="宋体" w:cs="宋体"/>
          <w:bCs/>
          <w:sz w:val="28"/>
          <w:szCs w:val="28"/>
        </w:rPr>
        <w:t>专业实践原则上不少于1年，主要包括教育见习、教育实习、</w:t>
      </w:r>
      <w:r>
        <w:rPr>
          <w:rFonts w:hint="eastAsia" w:ascii="宋体" w:hAnsi="宋体" w:eastAsia="宋体" w:cs="宋体"/>
          <w:sz w:val="28"/>
          <w:szCs w:val="28"/>
        </w:rPr>
        <w:t>社会调查、案例分析、班级与课堂管理实务、文化传播与交流等实践方式。</w:t>
      </w:r>
      <w:r>
        <w:rPr>
          <w:rFonts w:hint="eastAsia" w:ascii="宋体" w:hAnsi="宋体" w:eastAsia="宋体" w:cs="宋体"/>
          <w:bCs/>
          <w:sz w:val="28"/>
          <w:szCs w:val="28"/>
        </w:rPr>
        <w:t>专业实践</w:t>
      </w:r>
      <w:r>
        <w:rPr>
          <w:rFonts w:hint="eastAsia" w:ascii="宋体" w:hAnsi="宋体" w:eastAsia="宋体" w:cs="宋体"/>
          <w:sz w:val="28"/>
          <w:szCs w:val="28"/>
        </w:rPr>
        <w:t>可采用集中实践与分阶段实践相结合的方式，按当年公布的实践计划执行。研究生可以志愿者身份赴海外顶岗实习，在孔子学院、国外中小学等机构从事汉语教学和文化传播工作；或在国内各类学校及教育机构进行教学实习。研究生在</w:t>
      </w:r>
      <w:r>
        <w:rPr>
          <w:rFonts w:hint="eastAsia" w:ascii="宋体" w:hAnsi="宋体" w:eastAsia="宋体" w:cs="宋体"/>
          <w:bCs/>
          <w:sz w:val="28"/>
          <w:szCs w:val="28"/>
        </w:rPr>
        <w:t>专业实践</w:t>
      </w:r>
      <w:r>
        <w:rPr>
          <w:rFonts w:hint="eastAsia" w:ascii="宋体" w:hAnsi="宋体" w:eastAsia="宋体" w:cs="宋体"/>
          <w:sz w:val="28"/>
          <w:szCs w:val="28"/>
        </w:rPr>
        <w:t>结束后，应提交实践总结报告。</w:t>
      </w:r>
      <w:r>
        <w:rPr>
          <w:rFonts w:hint="eastAsia" w:ascii="宋体" w:hAnsi="宋体" w:eastAsia="宋体" w:cs="宋体"/>
          <w:bCs/>
          <w:sz w:val="28"/>
          <w:szCs w:val="28"/>
        </w:rPr>
        <w:t>专业</w:t>
      </w:r>
      <w:r>
        <w:rPr>
          <w:rFonts w:hint="eastAsia" w:ascii="宋体" w:hAnsi="宋体" w:eastAsia="宋体" w:cs="宋体"/>
          <w:sz w:val="28"/>
          <w:szCs w:val="28"/>
        </w:rPr>
        <w:t>实践考核由实习单位、学院实践教学指导考核小组共同组织实施。专业实践考核通过后即获得6学分。</w:t>
      </w:r>
    </w:p>
    <w:p w14:paraId="43A4A0AB">
      <w:pPr>
        <w:pStyle w:val="3"/>
        <w:ind w:firstLine="562"/>
        <w:rPr>
          <w:rFonts w:hint="eastAsia" w:ascii="宋体" w:hAnsi="宋体" w:eastAsia="宋体" w:cs="宋体"/>
          <w:b/>
          <w:szCs w:val="28"/>
        </w:rPr>
      </w:pPr>
      <w:r>
        <w:rPr>
          <w:rFonts w:hint="eastAsia" w:ascii="宋体" w:hAnsi="宋体" w:eastAsia="宋体" w:cs="宋体"/>
          <w:b/>
          <w:szCs w:val="28"/>
        </w:rPr>
        <w:t>4.创新创业</w:t>
      </w:r>
    </w:p>
    <w:p w14:paraId="1DB49A30">
      <w:pPr>
        <w:spacing w:line="560" w:lineRule="exact"/>
        <w:ind w:firstLine="560" w:firstLineChars="200"/>
        <w:rPr>
          <w:rFonts w:hint="eastAsia" w:ascii="宋体" w:hAnsi="宋体" w:eastAsia="宋体" w:cs="宋体"/>
          <w:sz w:val="28"/>
          <w:szCs w:val="28"/>
        </w:rPr>
      </w:pPr>
      <w:bookmarkStart w:id="1" w:name="OLE_LINK4"/>
      <w:r>
        <w:rPr>
          <w:rFonts w:hint="eastAsia" w:ascii="宋体" w:hAnsi="宋体" w:eastAsia="宋体" w:cs="宋体"/>
          <w:sz w:val="28"/>
          <w:szCs w:val="28"/>
        </w:rPr>
        <w:t>研究生</w:t>
      </w:r>
      <w:r>
        <w:rPr>
          <w:rFonts w:hint="eastAsia" w:ascii="宋体" w:hAnsi="宋体" w:eastAsia="宋体" w:cs="宋体"/>
          <w:bCs/>
          <w:sz w:val="28"/>
          <w:szCs w:val="28"/>
        </w:rPr>
        <w:t>完成下列4项中的2项，即获得创新创业2学分</w:t>
      </w:r>
      <w:r>
        <w:rPr>
          <w:rFonts w:hint="eastAsia" w:ascii="宋体" w:hAnsi="宋体" w:eastAsia="宋体" w:cs="宋体"/>
          <w:sz w:val="28"/>
          <w:szCs w:val="28"/>
        </w:rPr>
        <w:t>：</w:t>
      </w:r>
    </w:p>
    <w:p w14:paraId="348BE3A7">
      <w:pPr>
        <w:widowControl/>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（1）进行3个月的出国访学研修、汉语教学，或学术交流；</w:t>
      </w:r>
    </w:p>
    <w:p w14:paraId="75A94AB1">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（2）参加学术会议并宣读论文，或做公开学术报告2次；</w:t>
      </w:r>
    </w:p>
    <w:p w14:paraId="7AA35E03">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（3）参加省级以上的专业比赛、创意设计、创新创业竞赛等；</w:t>
      </w:r>
    </w:p>
    <w:p w14:paraId="685A80B7">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（4）参加6次以上与本学科相关的学术/行业报告，并提交总结。</w:t>
      </w:r>
    </w:p>
    <w:p w14:paraId="7308CE69">
      <w:pPr>
        <w:spacing w:before="156" w:beforeLines="50" w:after="156" w:afterLines="50"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创新创业活动由导师写出考核评语，学院审核，研究生考核合格即获得相应学分。</w:t>
      </w:r>
    </w:p>
    <w:p w14:paraId="33E37B7F">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Graduate students must strictly follow the requirements of the training process to carry out learning, research, and practice. Supervisors (guidance groups) need to strengthen the management and monitoring of the training process.</w:t>
      </w:r>
    </w:p>
    <w:p w14:paraId="39057999">
      <w:pPr>
        <w:numPr>
          <w:ilvl w:val="0"/>
          <w:numId w:val="1"/>
        </w:numPr>
        <w:spacing w:before="156" w:beforeLines="50" w:after="156" w:afterLines="50" w:line="500" w:lineRule="exact"/>
        <w:ind w:firstLine="560" w:firstLineChars="200"/>
        <w:rPr>
          <w:rFonts w:ascii="Times New Roman" w:hAnsi="Times New Roman" w:eastAsia="宋体" w:cs="Times New Roman"/>
          <w:b/>
          <w:bCs/>
          <w:sz w:val="28"/>
          <w:szCs w:val="28"/>
        </w:rPr>
      </w:pPr>
      <w:r>
        <w:rPr>
          <w:rFonts w:ascii="Times New Roman" w:hAnsi="Times New Roman" w:eastAsia="宋体" w:cs="Times New Roman"/>
          <w:b/>
          <w:bCs/>
          <w:sz w:val="28"/>
          <w:szCs w:val="28"/>
        </w:rPr>
        <w:t>Opening report</w:t>
      </w:r>
    </w:p>
    <w:p w14:paraId="2216C0D8">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Under the guidance of their supervisor, graduate students determine the topic and research content of their thesis through literature review and academic research. They complete their thesis proposal in the third semester and, with the supervisor's approval, submit it to the supervisor of their research direction for pre proposal organization. After the preliminary proposal is approved, a review panel consisting of 5 or more experts in this category will evaluate the proposal made by the graduate students and provide revision suggestions. Those who do not pass can resubmit the proposal after making revisions for no less than one month, no later than one year before the external review of the paper. Those who resubmit the proposal but still fail will have their training terminated. Upon passing the proposal, one credit will be awarded.</w:t>
      </w:r>
    </w:p>
    <w:p w14:paraId="5DF0E546">
      <w:pPr>
        <w:numPr>
          <w:ilvl w:val="0"/>
          <w:numId w:val="1"/>
        </w:numPr>
        <w:spacing w:before="156" w:beforeLines="50" w:after="156" w:afterLines="50" w:line="500" w:lineRule="exact"/>
        <w:ind w:firstLine="560" w:firstLineChars="200"/>
        <w:rPr>
          <w:rFonts w:ascii="Times New Roman" w:hAnsi="Times New Roman" w:eastAsia="宋体" w:cs="Times New Roman"/>
          <w:b/>
          <w:bCs/>
          <w:sz w:val="28"/>
          <w:szCs w:val="28"/>
        </w:rPr>
      </w:pPr>
      <w:r>
        <w:rPr>
          <w:rFonts w:ascii="Times New Roman" w:hAnsi="Times New Roman" w:eastAsia="宋体" w:cs="Times New Roman"/>
          <w:b/>
          <w:bCs/>
          <w:sz w:val="28"/>
          <w:szCs w:val="28"/>
        </w:rPr>
        <w:t>Mid term screening and assessment</w:t>
      </w:r>
    </w:p>
    <w:p w14:paraId="7D98A137">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After the completion of graduate courses, a comprehensive assessment will be conducted on the political ideology and moral qualities, basic theories and professional knowledge, scientific research innovation, practical ability, and health status of graduate students based on the graduate training program. The purpose of assessment is to summarize and evaluate the learning and research situation of graduate students since their enrollment, timely identify problems in the process of graduate education, explore ways to solve problems, and clarify the direction of future efforts. The mid-term screening and assessment team will determine that graduate students with an assessment score of "unqualified" will be dealt with in accordance with relevant school regulations. Upon passing the mid-term screening assessment, one credit will be awarded.</w:t>
      </w:r>
    </w:p>
    <w:p w14:paraId="636DC5AC">
      <w:pPr>
        <w:numPr>
          <w:ilvl w:val="0"/>
          <w:numId w:val="1"/>
        </w:numPr>
        <w:spacing w:before="156" w:beforeLines="50" w:after="156" w:afterLines="50" w:line="500" w:lineRule="exact"/>
        <w:ind w:firstLine="560" w:firstLineChars="200"/>
        <w:rPr>
          <w:rFonts w:ascii="Times New Roman" w:hAnsi="Times New Roman" w:eastAsia="宋体" w:cs="Times New Roman"/>
          <w:b/>
          <w:bCs/>
          <w:sz w:val="28"/>
          <w:szCs w:val="28"/>
        </w:rPr>
      </w:pPr>
      <w:r>
        <w:rPr>
          <w:rFonts w:ascii="Times New Roman" w:hAnsi="Times New Roman" w:eastAsia="宋体" w:cs="Times New Roman"/>
          <w:b/>
          <w:bCs/>
          <w:sz w:val="28"/>
          <w:szCs w:val="28"/>
        </w:rPr>
        <w:t>Professional Practice</w:t>
      </w:r>
    </w:p>
    <w:p w14:paraId="054539B8">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Professional practice should generally not be less than one year, mainly including educational internships, educational internships, social surveys, case analysis, class and classroom management practices, cultural dissemination and exchange, and other practical methods. Professional practice can adopt a combination of centralized practice and phased practice, and be carried out according to the practice plan announced in the current year. Graduate students can volunteer to intern overseas and engage in Chinese language teaching and cultural dissemination work in institutions such as Confucius Institutes and foreign primary and secondary schools; Or conduct teaching internships in various schools and educational institutions in China. Graduate students should submit a practice summary report after completing their professional practice. The professional practice assessment is jointly organized and implemented by the internship unit and the college's practical teaching guidance assessment group. After passing the professional practice assessment, 6 credits will be obtained.</w:t>
      </w:r>
    </w:p>
    <w:p w14:paraId="4BC40057">
      <w:pPr>
        <w:numPr>
          <w:ilvl w:val="0"/>
          <w:numId w:val="1"/>
        </w:numPr>
        <w:spacing w:before="156" w:beforeLines="50" w:after="156" w:afterLines="50" w:line="500" w:lineRule="exact"/>
        <w:ind w:firstLine="560" w:firstLineChars="200"/>
        <w:rPr>
          <w:rFonts w:ascii="Times New Roman" w:hAnsi="Times New Roman" w:eastAsia="宋体" w:cs="Times New Roman"/>
          <w:b/>
          <w:bCs/>
          <w:sz w:val="28"/>
          <w:szCs w:val="28"/>
        </w:rPr>
      </w:pPr>
      <w:r>
        <w:rPr>
          <w:rFonts w:ascii="Times New Roman" w:hAnsi="Times New Roman" w:eastAsia="宋体" w:cs="Times New Roman"/>
          <w:b/>
          <w:bCs/>
          <w:sz w:val="28"/>
          <w:szCs w:val="28"/>
        </w:rPr>
        <w:t>Innovation and entrepreneurship</w:t>
      </w:r>
    </w:p>
    <w:p w14:paraId="394DE1CC">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Graduate students will earn 2 credits for innovation and entrepreneurship by completing 2 out of the following 4 tasks:</w:t>
      </w:r>
    </w:p>
    <w:p w14:paraId="7BDC20EE">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(1) Conduct a 3-month study abroad program, Chinese language teaching, or academic exchange;</w:t>
      </w:r>
    </w:p>
    <w:p w14:paraId="46E831C9">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 Attend academic conferences and read papers, or give two public academic presentations;</w:t>
      </w:r>
    </w:p>
    <w:p w14:paraId="54CAD871">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(3) Participate in professional competitions, creative design, innovation and entrepreneurship competitions at or above the provincial level;</w:t>
      </w:r>
    </w:p>
    <w:p w14:paraId="04DE3A86">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(4) Participate in more than 6 academic/industry reports related to this discipline and submit a summary.</w:t>
      </w:r>
    </w:p>
    <w:p w14:paraId="5C77E77E">
      <w:pPr>
        <w:spacing w:before="156" w:beforeLines="50" w:after="156" w:afterLines="50" w:line="50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Innovation and entrepreneurship activities are evaluated by mentors, reviewed by the college, and graduate students who pass the assessment will receive corresponding credits.</w:t>
      </w:r>
    </w:p>
    <w:bookmarkEnd w:id="1"/>
    <w:p w14:paraId="7EF8AB2E">
      <w:pPr>
        <w:spacing w:before="156" w:beforeLines="50" w:after="156" w:afterLines="50" w:line="600" w:lineRule="exact"/>
        <w:rPr>
          <w:rFonts w:hint="eastAsia" w:ascii="宋体" w:hAnsi="宋体" w:eastAsia="宋体" w:cs="宋体"/>
          <w:sz w:val="28"/>
          <w:szCs w:val="28"/>
        </w:rPr>
      </w:pPr>
      <w:r>
        <w:rPr>
          <w:rFonts w:hint="eastAsia" w:ascii="黑体" w:hAnsi="黑体" w:eastAsia="黑体"/>
          <w:sz w:val="28"/>
          <w:szCs w:val="28"/>
        </w:rPr>
        <w:t>七、学位论文</w:t>
      </w:r>
      <w:r>
        <w:rPr>
          <w:rFonts w:hint="eastAsia" w:ascii="Arial" w:hAnsi="Arial" w:eastAsia="黑体"/>
          <w:bCs/>
          <w:sz w:val="28"/>
          <w:szCs w:val="28"/>
        </w:rPr>
        <w:t>（Thesis and Dissertation）</w:t>
      </w:r>
    </w:p>
    <w:p w14:paraId="24CBFED2">
      <w:pPr>
        <w:widowControl/>
        <w:spacing w:line="560" w:lineRule="exact"/>
        <w:ind w:firstLine="640"/>
        <w:rPr>
          <w:rFonts w:hint="eastAsia" w:ascii="宋体" w:hAnsi="宋体" w:eastAsia="宋体" w:cs="宋体"/>
          <w:sz w:val="28"/>
          <w:szCs w:val="28"/>
        </w:rPr>
      </w:pPr>
      <w:r>
        <w:rPr>
          <w:rFonts w:hint="eastAsia" w:ascii="宋体" w:hAnsi="宋体" w:eastAsia="宋体" w:cs="宋体"/>
          <w:sz w:val="28"/>
          <w:szCs w:val="28"/>
        </w:rPr>
        <w:t>学位论文的要求按照《山东理工大学关于研究生学位论文工作的有关规定》《山东理工大学硕士博士学位授予工作实施细则》等相关文件执行。</w:t>
      </w:r>
    </w:p>
    <w:p w14:paraId="40FB828D">
      <w:pPr>
        <w:widowControl/>
        <w:spacing w:line="500" w:lineRule="exact"/>
        <w:ind w:firstLine="640"/>
        <w:rPr>
          <w:rFonts w:ascii="Times New Roman" w:hAnsi="Times New Roman" w:eastAsia="宋体" w:cs="Times New Roman"/>
          <w:sz w:val="28"/>
          <w:szCs w:val="28"/>
        </w:rPr>
      </w:pPr>
      <w:r>
        <w:rPr>
          <w:rFonts w:ascii="Times New Roman" w:hAnsi="Times New Roman" w:eastAsia="宋体" w:cs="Times New Roman"/>
          <w:sz w:val="28"/>
          <w:szCs w:val="28"/>
        </w:rPr>
        <w:t>The requirements for a thesis shall be implemented in accordance with relevant documents such as the "Regulations on Graduate Thesis Work at Shandong University of Technology" and the "Implementation Rules for Master's and Doctoral Degree Awarding at Shandong University of Technology".</w:t>
      </w:r>
    </w:p>
    <w:p w14:paraId="0BCC20E9">
      <w:pPr>
        <w:pStyle w:val="2"/>
        <w:spacing w:before="156" w:beforeLines="50" w:after="156" w:afterLines="50" w:line="600" w:lineRule="exact"/>
        <w:ind w:firstLine="0" w:firstLineChars="0"/>
        <w:rPr>
          <w:rFonts w:hint="eastAsia" w:ascii="宋体" w:hAnsi="宋体" w:eastAsia="宋体" w:cs="宋体"/>
          <w:szCs w:val="28"/>
        </w:rPr>
      </w:pPr>
      <w:r>
        <w:rPr>
          <w:rFonts w:hint="eastAsia"/>
          <w:color w:val="auto"/>
        </w:rPr>
        <w:t>八、</w:t>
      </w:r>
      <w:r>
        <w:rPr>
          <w:color w:val="auto"/>
        </w:rPr>
        <w:t>毕业与学位要求</w:t>
      </w:r>
      <w:r>
        <w:rPr>
          <w:rFonts w:hint="eastAsia" w:ascii="Arial" w:hAnsi="Arial" w:cstheme="minorBidi"/>
          <w:bCs/>
          <w:color w:val="auto"/>
          <w:szCs w:val="28"/>
        </w:rPr>
        <w:t>（Graduation and Degree Requirements）</w:t>
      </w:r>
    </w:p>
    <w:p w14:paraId="31173B46">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满足毕业要求可获得毕业证书；在获得毕业证书的基础上，如满足学位授予标准，可授予学位证书。</w:t>
      </w:r>
    </w:p>
    <w:p w14:paraId="6349C1D9">
      <w:pPr>
        <w:widowControl/>
        <w:spacing w:line="500" w:lineRule="exact"/>
        <w:ind w:firstLine="640"/>
        <w:rPr>
          <w:rFonts w:ascii="Times New Roman" w:hAnsi="Times New Roman" w:eastAsia="宋体" w:cs="Times New Roman"/>
          <w:sz w:val="28"/>
          <w:szCs w:val="28"/>
        </w:rPr>
      </w:pPr>
      <w:r>
        <w:rPr>
          <w:rFonts w:hint="eastAsia" w:ascii="Times New Roman" w:hAnsi="Times New Roman" w:eastAsia="宋体" w:cs="Times New Roman"/>
          <w:sz w:val="28"/>
          <w:szCs w:val="28"/>
        </w:rPr>
        <w:t>Satisfying graduation requirements can result in obtaining a graduation certificate; On the basis of obtaining a graduation certificate, if the degree granting criteria are met, a degree certificate can be awarded.</w:t>
      </w:r>
    </w:p>
    <w:p w14:paraId="1F9E7E5F">
      <w:pPr>
        <w:spacing w:before="156" w:beforeLines="50" w:after="156" w:afterLines="50" w:line="540" w:lineRule="exact"/>
        <w:ind w:firstLine="550"/>
        <w:rPr>
          <w:rFonts w:hint="eastAsia" w:ascii="黑体" w:hAnsi="黑体" w:eastAsia="黑体" w:cs="宋体"/>
          <w:sz w:val="28"/>
          <w:szCs w:val="28"/>
        </w:rPr>
      </w:pPr>
      <w:r>
        <w:rPr>
          <w:rFonts w:hint="eastAsia" w:ascii="黑体" w:hAnsi="黑体" w:eastAsia="黑体" w:cs="宋体"/>
          <w:sz w:val="28"/>
          <w:szCs w:val="28"/>
        </w:rPr>
        <w:t>（一）毕业要求</w:t>
      </w:r>
      <w:r>
        <w:rPr>
          <w:rFonts w:hint="eastAsia" w:ascii="Arial" w:hAnsi="Arial" w:eastAsia="黑体"/>
          <w:bCs/>
          <w:sz w:val="28"/>
          <w:szCs w:val="28"/>
        </w:rPr>
        <w:t>（Graduation requirements）</w:t>
      </w:r>
    </w:p>
    <w:p w14:paraId="1E62C281">
      <w:pPr>
        <w:spacing w:line="560" w:lineRule="exact"/>
        <w:ind w:firstLine="560" w:firstLineChars="200"/>
        <w:jc w:val="left"/>
        <w:rPr>
          <w:rFonts w:hint="eastAsia" w:ascii="宋体" w:hAnsi="宋体" w:cs="宋体"/>
          <w:sz w:val="28"/>
          <w:szCs w:val="28"/>
        </w:rPr>
      </w:pPr>
      <w:r>
        <w:rPr>
          <w:rFonts w:hint="eastAsia" w:ascii="宋体" w:hAnsi="宋体" w:eastAsia="宋体" w:cs="宋体"/>
          <w:sz w:val="28"/>
          <w:szCs w:val="28"/>
        </w:rPr>
        <w:t>1.</w:t>
      </w:r>
      <w:r>
        <w:rPr>
          <w:rFonts w:hint="eastAsia" w:ascii="宋体" w:hAnsi="宋体" w:cs="宋体"/>
          <w:sz w:val="28"/>
          <w:szCs w:val="28"/>
        </w:rPr>
        <w:t>热爱中国文化，知华友华爱华，具有社会责任感，身心健康。</w:t>
      </w:r>
    </w:p>
    <w:p w14:paraId="4DCC86FC">
      <w:pPr>
        <w:widowControl/>
        <w:spacing w:line="56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2.具有良好的品德修养和学术道德，实事求是、勇于创新。</w:t>
      </w:r>
    </w:p>
    <w:p w14:paraId="3A634D43">
      <w:pPr>
        <w:spacing w:line="560" w:lineRule="exact"/>
        <w:ind w:firstLine="552"/>
        <w:rPr>
          <w:rFonts w:hint="eastAsia" w:ascii="宋体" w:hAnsi="宋体" w:eastAsia="宋体" w:cs="宋体"/>
          <w:sz w:val="28"/>
          <w:szCs w:val="28"/>
        </w:rPr>
      </w:pPr>
      <w:r>
        <w:rPr>
          <w:rFonts w:hint="eastAsia" w:ascii="宋体" w:hAnsi="宋体" w:eastAsia="宋体" w:cs="宋体"/>
          <w:sz w:val="28"/>
          <w:szCs w:val="28"/>
        </w:rPr>
        <w:t>3.修读完培养方案的规定课程和其他培养环节，成绩考核合格。</w:t>
      </w:r>
    </w:p>
    <w:p w14:paraId="0E97C368">
      <w:pPr>
        <w:spacing w:line="560" w:lineRule="exact"/>
        <w:ind w:firstLine="552"/>
        <w:rPr>
          <w:rFonts w:hint="eastAsia" w:ascii="宋体" w:hAnsi="宋体" w:eastAsia="宋体" w:cs="宋体"/>
          <w:sz w:val="28"/>
          <w:szCs w:val="28"/>
        </w:rPr>
      </w:pPr>
      <w:r>
        <w:rPr>
          <w:rFonts w:hint="eastAsia" w:ascii="宋体" w:hAnsi="宋体" w:eastAsia="宋体" w:cs="宋体"/>
          <w:sz w:val="28"/>
          <w:szCs w:val="28"/>
        </w:rPr>
        <w:t>4.完成论文答辩，成绩合格。</w:t>
      </w:r>
    </w:p>
    <w:p w14:paraId="6F302BDE">
      <w:pPr>
        <w:spacing w:line="560" w:lineRule="exact"/>
        <w:ind w:firstLine="552"/>
        <w:rPr>
          <w:rFonts w:hint="eastAsia" w:ascii="宋体" w:hAnsi="宋体" w:eastAsia="宋体" w:cs="宋体"/>
          <w:sz w:val="28"/>
          <w:szCs w:val="28"/>
        </w:rPr>
      </w:pPr>
      <w:r>
        <w:rPr>
          <w:rFonts w:hint="eastAsia" w:ascii="宋体" w:hAnsi="宋体" w:eastAsia="宋体" w:cs="宋体"/>
          <w:sz w:val="28"/>
          <w:szCs w:val="28"/>
        </w:rPr>
        <w:t>5.符合学校有关规定的其他要求。</w:t>
      </w:r>
    </w:p>
    <w:p w14:paraId="260FE19B">
      <w:pPr>
        <w:widowControl/>
        <w:spacing w:line="560" w:lineRule="exact"/>
        <w:ind w:firstLine="640"/>
        <w:rPr>
          <w:rFonts w:ascii="Times New Roman" w:hAnsi="Times New Roman" w:eastAsia="宋体" w:cs="Times New Roman"/>
          <w:sz w:val="28"/>
          <w:szCs w:val="28"/>
        </w:rPr>
      </w:pPr>
      <w:r>
        <w:rPr>
          <w:rFonts w:hint="eastAsia" w:ascii="Times New Roman" w:hAnsi="Times New Roman" w:eastAsia="宋体" w:cs="Times New Roman"/>
          <w:sz w:val="28"/>
          <w:szCs w:val="28"/>
        </w:rPr>
        <w:t>1. Passionate about Chinese culture, knowledgeable, friendly, and loving towards China, possessing a sense of social responsibility, and maintaining good physical and mental health.</w:t>
      </w:r>
    </w:p>
    <w:p w14:paraId="4A4EB7D2">
      <w:pPr>
        <w:widowControl/>
        <w:spacing w:line="560" w:lineRule="exact"/>
        <w:ind w:firstLine="640"/>
        <w:rPr>
          <w:rFonts w:ascii="Times New Roman" w:hAnsi="Times New Roman" w:eastAsia="宋体" w:cs="Times New Roman"/>
          <w:sz w:val="28"/>
          <w:szCs w:val="28"/>
        </w:rPr>
      </w:pPr>
      <w:r>
        <w:rPr>
          <w:rFonts w:hint="eastAsia" w:ascii="Times New Roman" w:hAnsi="Times New Roman" w:eastAsia="宋体" w:cs="Times New Roman"/>
          <w:sz w:val="28"/>
          <w:szCs w:val="28"/>
        </w:rPr>
        <w:t>2. Possess good moral cultivation and academic ethics, seek truth from facts, and be brave in innovation.</w:t>
      </w:r>
    </w:p>
    <w:p w14:paraId="48EEDC30">
      <w:pPr>
        <w:widowControl/>
        <w:spacing w:line="560" w:lineRule="exact"/>
        <w:ind w:firstLine="640"/>
        <w:rPr>
          <w:rFonts w:ascii="Times New Roman" w:hAnsi="Times New Roman" w:eastAsia="宋体" w:cs="Times New Roman"/>
          <w:sz w:val="28"/>
          <w:szCs w:val="28"/>
        </w:rPr>
      </w:pPr>
      <w:r>
        <w:rPr>
          <w:rFonts w:hint="eastAsia" w:ascii="Times New Roman" w:hAnsi="Times New Roman" w:eastAsia="宋体" w:cs="Times New Roman"/>
          <w:sz w:val="28"/>
          <w:szCs w:val="28"/>
        </w:rPr>
        <w:t>3. After completing the prescribed courses and other training components of the training program, pass the performance assessment.</w:t>
      </w:r>
    </w:p>
    <w:p w14:paraId="0E8202AB">
      <w:pPr>
        <w:widowControl/>
        <w:spacing w:line="560" w:lineRule="exact"/>
        <w:ind w:firstLine="640"/>
        <w:rPr>
          <w:rFonts w:ascii="Times New Roman" w:hAnsi="Times New Roman" w:eastAsia="宋体" w:cs="Times New Roman"/>
          <w:sz w:val="28"/>
          <w:szCs w:val="28"/>
        </w:rPr>
      </w:pPr>
      <w:r>
        <w:rPr>
          <w:rFonts w:hint="eastAsia" w:ascii="Times New Roman" w:hAnsi="Times New Roman" w:eastAsia="宋体" w:cs="Times New Roman"/>
          <w:sz w:val="28"/>
          <w:szCs w:val="28"/>
        </w:rPr>
        <w:t>4. Complete the thesis defense with a passing grade.</w:t>
      </w:r>
    </w:p>
    <w:p w14:paraId="2CAD1CCF">
      <w:pPr>
        <w:widowControl/>
        <w:spacing w:line="560" w:lineRule="exact"/>
        <w:ind w:firstLine="640"/>
        <w:rPr>
          <w:rFonts w:ascii="Times New Roman" w:hAnsi="Times New Roman" w:eastAsia="宋体" w:cs="Times New Roman"/>
          <w:sz w:val="28"/>
          <w:szCs w:val="28"/>
        </w:rPr>
      </w:pPr>
      <w:r>
        <w:rPr>
          <w:rFonts w:hint="eastAsia" w:ascii="Times New Roman" w:hAnsi="Times New Roman" w:eastAsia="宋体" w:cs="Times New Roman"/>
          <w:sz w:val="28"/>
          <w:szCs w:val="28"/>
        </w:rPr>
        <w:t>5.Other requirements that comply with relevant school regulations.</w:t>
      </w:r>
    </w:p>
    <w:p w14:paraId="0836FE01">
      <w:pPr>
        <w:pStyle w:val="5"/>
        <w:spacing w:before="156" w:beforeLines="50" w:after="156" w:afterLines="50" w:line="540" w:lineRule="exact"/>
        <w:ind w:firstLine="560" w:firstLineChars="200"/>
        <w:rPr>
          <w:rFonts w:hint="eastAsia" w:asciiTheme="minorEastAsia" w:hAnsiTheme="minorEastAsia"/>
          <w:color w:val="0000FF"/>
          <w:sz w:val="28"/>
          <w:szCs w:val="28"/>
        </w:rPr>
      </w:pPr>
      <w:r>
        <w:rPr>
          <w:rFonts w:hint="eastAsia" w:ascii="黑体" w:hAnsi="黑体" w:eastAsia="黑体" w:cstheme="minorBidi"/>
          <w:sz w:val="28"/>
          <w:szCs w:val="28"/>
        </w:rPr>
        <w:t>（二）学位要求</w:t>
      </w:r>
      <w:r>
        <w:rPr>
          <w:rFonts w:hint="eastAsia" w:ascii="Arial" w:hAnsi="Arial" w:eastAsia="黑体" w:cstheme="minorBidi"/>
          <w:bCs/>
          <w:sz w:val="28"/>
          <w:szCs w:val="28"/>
        </w:rPr>
        <w:t>（Degree requirements）</w:t>
      </w:r>
    </w:p>
    <w:p w14:paraId="40BB26CF">
      <w:pPr>
        <w:spacing w:line="56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学位要求严格执行《中华人民共和国学位条例》《山东理工大学硕士博士学位授予工作实施细则》《山东理工大学研究生申请学位学术创新性要求的规定》以及文学与新闻传播学院申请学位学术创新性要求的有关规定。</w:t>
      </w:r>
    </w:p>
    <w:p w14:paraId="66CCA0BF">
      <w:pPr>
        <w:widowControl/>
        <w:spacing w:line="500" w:lineRule="exact"/>
        <w:ind w:firstLine="640"/>
        <w:rPr>
          <w:rFonts w:ascii="Times New Roman" w:hAnsi="Times New Roman" w:eastAsia="宋体" w:cs="Times New Roman"/>
          <w:sz w:val="28"/>
          <w:szCs w:val="28"/>
        </w:rPr>
        <w:sectPr>
          <w:pgSz w:w="11906" w:h="16838"/>
          <w:pgMar w:top="1440" w:right="1797" w:bottom="1440" w:left="1797" w:header="851" w:footer="992" w:gutter="0"/>
          <w:cols w:space="425" w:num="1"/>
          <w:docGrid w:type="linesAndChars" w:linePitch="312" w:charSpace="0"/>
        </w:sectPr>
      </w:pPr>
      <w:r>
        <w:rPr>
          <w:rFonts w:hint="eastAsia" w:ascii="Times New Roman" w:hAnsi="Times New Roman" w:eastAsia="宋体" w:cs="Times New Roman"/>
          <w:sz w:val="28"/>
          <w:szCs w:val="28"/>
        </w:rPr>
        <w:t>The degree requirements strictly comply with the Regulations of the People's Republic of China on Academic Degrees, the Implementation Rules for the Granting of Master's and Doctoral Degrees at Shandong University of Technology, the Regulations on Academic Innovation Requirements for Graduate Degree Applications at Shandong University of Technology, and the relevant regulations on academic innovation requirements for degree applications at the School of Literature and Journalism.</w:t>
      </w:r>
    </w:p>
    <w:p w14:paraId="533FBF83">
      <w:pPr>
        <w:pStyle w:val="5"/>
        <w:spacing w:after="156" w:afterLines="50"/>
        <w:ind w:firstLine="357"/>
        <w:rPr>
          <w:rFonts w:hint="eastAsia" w:ascii="黑体" w:hAnsi="黑体" w:eastAsia="黑体"/>
          <w:sz w:val="28"/>
          <w:szCs w:val="28"/>
        </w:rPr>
      </w:pPr>
      <w:r>
        <w:rPr>
          <w:rFonts w:ascii="黑体" w:hAnsi="黑体" w:eastAsia="黑体"/>
          <w:sz w:val="28"/>
          <w:szCs w:val="28"/>
        </w:rPr>
        <w:t>附表1：研究方向简介</w:t>
      </w:r>
    </w:p>
    <w:tbl>
      <w:tblPr>
        <w:tblStyle w:val="12"/>
        <w:tblW w:w="14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687"/>
        <w:gridCol w:w="7800"/>
        <w:gridCol w:w="4095"/>
      </w:tblGrid>
      <w:tr w14:paraId="1D34A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82" w:type="dxa"/>
            <w:gridSpan w:val="2"/>
            <w:vAlign w:val="center"/>
          </w:tcPr>
          <w:p w14:paraId="4FA2F5A8">
            <w:pPr>
              <w:jc w:val="center"/>
              <w:rPr>
                <w:rFonts w:hint="eastAsia" w:ascii="宋体" w:hAnsi="宋体" w:eastAsia="宋体" w:cs="宋体"/>
                <w:b/>
                <w:sz w:val="18"/>
                <w:szCs w:val="18"/>
              </w:rPr>
            </w:pPr>
            <w:r>
              <w:rPr>
                <w:rFonts w:hint="eastAsia" w:ascii="宋体" w:hAnsi="宋体" w:eastAsia="宋体" w:cs="宋体"/>
                <w:b/>
                <w:sz w:val="18"/>
                <w:szCs w:val="18"/>
              </w:rPr>
              <w:t>类  别</w:t>
            </w:r>
          </w:p>
        </w:tc>
        <w:tc>
          <w:tcPr>
            <w:tcW w:w="7800" w:type="dxa"/>
            <w:vAlign w:val="center"/>
          </w:tcPr>
          <w:p w14:paraId="39B70B8B">
            <w:pPr>
              <w:jc w:val="center"/>
              <w:rPr>
                <w:rFonts w:hint="eastAsia" w:ascii="宋体" w:hAnsi="宋体" w:eastAsia="宋体" w:cs="宋体"/>
                <w:b/>
                <w:sz w:val="18"/>
                <w:szCs w:val="18"/>
              </w:rPr>
            </w:pPr>
            <w:r>
              <w:rPr>
                <w:rFonts w:hint="eastAsia" w:ascii="宋体" w:hAnsi="宋体" w:eastAsia="宋体" w:cs="宋体"/>
                <w:b/>
                <w:sz w:val="18"/>
                <w:szCs w:val="18"/>
              </w:rPr>
              <w:t>培养目标</w:t>
            </w:r>
          </w:p>
        </w:tc>
        <w:tc>
          <w:tcPr>
            <w:tcW w:w="4095" w:type="dxa"/>
            <w:vAlign w:val="center"/>
          </w:tcPr>
          <w:p w14:paraId="3E42A159">
            <w:pPr>
              <w:jc w:val="center"/>
              <w:rPr>
                <w:rFonts w:hint="eastAsia" w:ascii="宋体" w:hAnsi="宋体" w:eastAsia="宋体" w:cs="宋体"/>
                <w:b/>
                <w:sz w:val="18"/>
                <w:szCs w:val="18"/>
              </w:rPr>
            </w:pPr>
            <w:r>
              <w:rPr>
                <w:rFonts w:hint="eastAsia" w:ascii="宋体" w:hAnsi="宋体" w:eastAsia="宋体" w:cs="宋体"/>
                <w:b/>
                <w:sz w:val="18"/>
                <w:szCs w:val="18"/>
              </w:rPr>
              <w:t>支撑课程</w:t>
            </w:r>
          </w:p>
        </w:tc>
      </w:tr>
      <w:tr w14:paraId="7E60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82" w:type="dxa"/>
            <w:gridSpan w:val="2"/>
            <w:vAlign w:val="center"/>
          </w:tcPr>
          <w:p w14:paraId="074EF4E5">
            <w:pPr>
              <w:spacing w:line="380" w:lineRule="exact"/>
              <w:jc w:val="center"/>
              <w:rPr>
                <w:rFonts w:hint="eastAsia" w:ascii="宋体" w:hAnsi="宋体" w:eastAsia="宋体" w:cs="宋体"/>
                <w:b/>
                <w:sz w:val="18"/>
                <w:szCs w:val="18"/>
              </w:rPr>
            </w:pPr>
            <w:r>
              <w:rPr>
                <w:rFonts w:hint="eastAsia" w:ascii="宋体" w:hAnsi="宋体" w:eastAsia="宋体" w:cs="宋体"/>
                <w:b/>
                <w:sz w:val="18"/>
                <w:szCs w:val="18"/>
              </w:rPr>
              <w:t>综合素质</w:t>
            </w:r>
          </w:p>
        </w:tc>
        <w:tc>
          <w:tcPr>
            <w:tcW w:w="7800" w:type="dxa"/>
            <w:vAlign w:val="center"/>
          </w:tcPr>
          <w:p w14:paraId="7B15ADD5">
            <w:pPr>
              <w:spacing w:line="300" w:lineRule="exact"/>
              <w:jc w:val="left"/>
              <w:rPr>
                <w:rFonts w:hint="eastAsia" w:ascii="宋体" w:hAnsi="宋体" w:eastAsia="宋体" w:cs="宋体"/>
                <w:sz w:val="18"/>
                <w:szCs w:val="18"/>
              </w:rPr>
            </w:pPr>
            <w:r>
              <w:rPr>
                <w:rFonts w:hint="eastAsia" w:ascii="宋体" w:hAnsi="宋体" w:eastAsia="宋体" w:cs="宋体"/>
                <w:sz w:val="18"/>
                <w:szCs w:val="18"/>
              </w:rPr>
              <w:t>掌握马克思主义基本原理和国际中文教育的基本理论和方法，了解语言学、语言教学、文化学、传播学、心理学、社会学等人文社会科学的基本知识和基本理论。具有开阔的视野、科学严谨的态度，良好的学术素养和学术道德。</w:t>
            </w:r>
          </w:p>
          <w:p w14:paraId="09BAD0E0">
            <w:pPr>
              <w:spacing w:line="300" w:lineRule="exact"/>
              <w:rPr>
                <w:rFonts w:hint="eastAsia" w:ascii="宋体" w:hAnsi="宋体" w:eastAsia="宋体" w:cs="宋体"/>
                <w:sz w:val="18"/>
                <w:szCs w:val="18"/>
              </w:rPr>
            </w:pPr>
            <w:r>
              <w:rPr>
                <w:rFonts w:ascii="Times New Roman" w:hAnsi="Times New Roman" w:eastAsia="宋体" w:cs="Times New Roman"/>
                <w:sz w:val="18"/>
                <w:szCs w:val="18"/>
              </w:rPr>
              <w:t>Master the basic principles of Marxism and the fundamental theories and methods of international Chinese education, understand the basic knowledge and theories of humanities and social sciences such as linguistics, language teaching, cultural studies, communication studies, psychology, sociology, etc. Having a broad perspective, a scientifically rigorous attitude, good academic literacy, and academic ethics.</w:t>
            </w:r>
          </w:p>
        </w:tc>
        <w:tc>
          <w:tcPr>
            <w:tcW w:w="4095" w:type="dxa"/>
            <w:vAlign w:val="center"/>
          </w:tcPr>
          <w:p w14:paraId="5EEBC4AA">
            <w:pPr>
              <w:spacing w:line="300" w:lineRule="exact"/>
              <w:rPr>
                <w:rFonts w:hint="eastAsia" w:asciiTheme="minorEastAsia" w:hAnsiTheme="minorEastAsia"/>
                <w:sz w:val="18"/>
                <w:szCs w:val="18"/>
              </w:rPr>
            </w:pPr>
            <w:r>
              <w:rPr>
                <w:rFonts w:hint="eastAsia" w:ascii="宋体" w:hAnsi="宋体" w:eastAsia="宋体" w:cs="宋体"/>
                <w:sz w:val="18"/>
                <w:szCs w:val="18"/>
              </w:rPr>
              <w:t>中国文化、汉语、</w:t>
            </w:r>
            <w:r>
              <w:rPr>
                <w:rFonts w:hint="eastAsia" w:asciiTheme="minorEastAsia" w:hAnsiTheme="minorEastAsia"/>
                <w:sz w:val="18"/>
                <w:szCs w:val="18"/>
              </w:rPr>
              <w:t>论文写作与学术规范</w:t>
            </w:r>
          </w:p>
          <w:p w14:paraId="15E49CCE">
            <w:pPr>
              <w:spacing w:line="300" w:lineRule="exact"/>
              <w:rPr>
                <w:rFonts w:hint="eastAsia" w:asciiTheme="minorEastAsia" w:hAnsiTheme="minorEastAsia"/>
                <w:sz w:val="18"/>
                <w:szCs w:val="18"/>
              </w:rPr>
            </w:pPr>
            <w:r>
              <w:rPr>
                <w:rFonts w:ascii="Times New Roman" w:hAnsi="Times New Roman" w:cs="Times New Roman"/>
                <w:sz w:val="18"/>
                <w:szCs w:val="18"/>
              </w:rPr>
              <w:t>Chinese culture, Chinese language, paper writing, and academic norms</w:t>
            </w:r>
          </w:p>
        </w:tc>
      </w:tr>
      <w:tr w14:paraId="735B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82" w:type="dxa"/>
            <w:gridSpan w:val="2"/>
            <w:vAlign w:val="center"/>
          </w:tcPr>
          <w:p w14:paraId="4E5D080F">
            <w:pPr>
              <w:spacing w:line="380" w:lineRule="exact"/>
              <w:jc w:val="center"/>
              <w:rPr>
                <w:rFonts w:hint="eastAsia" w:ascii="宋体" w:hAnsi="宋体" w:eastAsia="宋体" w:cs="宋体"/>
                <w:b/>
                <w:sz w:val="18"/>
                <w:szCs w:val="18"/>
              </w:rPr>
            </w:pPr>
            <w:r>
              <w:rPr>
                <w:rFonts w:hint="eastAsia" w:ascii="宋体" w:hAnsi="宋体" w:eastAsia="宋体" w:cs="宋体"/>
                <w:b/>
                <w:sz w:val="18"/>
                <w:szCs w:val="18"/>
              </w:rPr>
              <w:t>综合能力</w:t>
            </w:r>
          </w:p>
        </w:tc>
        <w:tc>
          <w:tcPr>
            <w:tcW w:w="7800" w:type="dxa"/>
            <w:vAlign w:val="center"/>
          </w:tcPr>
          <w:p w14:paraId="620B12F8">
            <w:pPr>
              <w:spacing w:line="300" w:lineRule="exact"/>
              <w:jc w:val="left"/>
              <w:rPr>
                <w:rFonts w:hint="eastAsia" w:ascii="宋体" w:hAnsi="宋体" w:eastAsia="宋体" w:cs="宋体"/>
                <w:sz w:val="18"/>
                <w:szCs w:val="18"/>
              </w:rPr>
            </w:pPr>
            <w:r>
              <w:rPr>
                <w:rFonts w:hint="eastAsia" w:ascii="宋体" w:hAnsi="宋体" w:eastAsia="宋体" w:cs="宋体"/>
                <w:sz w:val="18"/>
                <w:szCs w:val="18"/>
              </w:rPr>
              <w:t>掌握一门外语，能熟练阅读本类别外文文献和相关资料，具有良好的写作能力和听说能力；掌握专业领域研究所需的文献检索方法；具有从事汉语作为第二语言教学工作的能力和良好的文化海外传播、跨文化交际能力。</w:t>
            </w:r>
          </w:p>
          <w:p w14:paraId="5DE3A708">
            <w:pPr>
              <w:spacing w:line="300" w:lineRule="exact"/>
              <w:rPr>
                <w:rFonts w:hint="eastAsia" w:ascii="宋体" w:hAnsi="宋体" w:eastAsia="宋体" w:cs="宋体"/>
                <w:sz w:val="18"/>
                <w:szCs w:val="18"/>
              </w:rPr>
            </w:pPr>
            <w:r>
              <w:rPr>
                <w:rFonts w:hint="eastAsia" w:ascii="宋体" w:hAnsi="宋体" w:eastAsia="宋体" w:cs="宋体"/>
                <w:sz w:val="18"/>
                <w:szCs w:val="18"/>
              </w:rPr>
              <w:t>M</w:t>
            </w:r>
            <w:r>
              <w:rPr>
                <w:rFonts w:ascii="Times New Roman" w:hAnsi="Times New Roman" w:eastAsia="宋体" w:cs="Times New Roman"/>
                <w:sz w:val="18"/>
                <w:szCs w:val="18"/>
              </w:rPr>
              <w:t>astering a foreign language, proficient in reading foreign literature and related materials in this category, with good writing and listening and speaking abilities; Master the literature search methods required for research in professional fields; Having the ability to teach Chinese as a second language and good cultural overseas dissemination and cross-cultural communication skills.</w:t>
            </w:r>
          </w:p>
        </w:tc>
        <w:tc>
          <w:tcPr>
            <w:tcW w:w="4095" w:type="dxa"/>
            <w:vAlign w:val="center"/>
          </w:tcPr>
          <w:p w14:paraId="018BD02D">
            <w:pPr>
              <w:spacing w:line="300" w:lineRule="exact"/>
              <w:jc w:val="left"/>
              <w:rPr>
                <w:rFonts w:hint="eastAsia" w:ascii="宋体" w:hAnsi="宋体" w:eastAsia="宋体" w:cs="宋体"/>
                <w:sz w:val="18"/>
                <w:szCs w:val="18"/>
              </w:rPr>
            </w:pPr>
            <w:r>
              <w:rPr>
                <w:rFonts w:hint="eastAsia" w:ascii="宋体" w:hAnsi="宋体" w:eastAsia="宋体" w:cs="宋体"/>
                <w:sz w:val="18"/>
                <w:szCs w:val="18"/>
              </w:rPr>
              <w:t>汉语作为第二语言教学、第二语言习得、中华文化与传播、跨文化交际、汉语语言要素教学</w:t>
            </w:r>
          </w:p>
          <w:p w14:paraId="6BBE01E5">
            <w:pPr>
              <w:spacing w:line="300" w:lineRule="exact"/>
              <w:rPr>
                <w:rFonts w:hint="eastAsia" w:ascii="宋体" w:hAnsi="宋体" w:eastAsia="宋体" w:cs="宋体"/>
                <w:sz w:val="18"/>
                <w:szCs w:val="18"/>
              </w:rPr>
            </w:pPr>
            <w:r>
              <w:rPr>
                <w:rFonts w:ascii="Times New Roman" w:hAnsi="Times New Roman" w:eastAsia="宋体" w:cs="Times New Roman"/>
                <w:sz w:val="18"/>
                <w:szCs w:val="18"/>
              </w:rPr>
              <w:t>Teaching Chinese as a Second Language, Second Language Acquisition, Chinese Culture and Communication, Cross Cultural Communication, Teaching Chinese Language Elements</w:t>
            </w:r>
          </w:p>
        </w:tc>
      </w:tr>
      <w:tr w14:paraId="19B9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5" w:type="dxa"/>
            <w:vMerge w:val="restart"/>
            <w:tcBorders>
              <w:right w:val="single" w:color="auto" w:sz="4" w:space="0"/>
            </w:tcBorders>
            <w:vAlign w:val="center"/>
          </w:tcPr>
          <w:p w14:paraId="1F10380C">
            <w:pPr>
              <w:spacing w:line="380" w:lineRule="exact"/>
              <w:jc w:val="center"/>
              <w:rPr>
                <w:rFonts w:hint="eastAsia" w:ascii="宋体" w:hAnsi="宋体" w:eastAsia="宋体" w:cs="宋体"/>
                <w:sz w:val="18"/>
                <w:szCs w:val="18"/>
              </w:rPr>
            </w:pPr>
            <w:r>
              <w:rPr>
                <w:rFonts w:hint="eastAsia" w:ascii="宋体" w:hAnsi="宋体" w:eastAsia="宋体" w:cs="宋体"/>
                <w:b/>
                <w:sz w:val="18"/>
                <w:szCs w:val="18"/>
              </w:rPr>
              <w:t>研究方向</w:t>
            </w:r>
          </w:p>
        </w:tc>
        <w:tc>
          <w:tcPr>
            <w:tcW w:w="1687" w:type="dxa"/>
            <w:tcBorders>
              <w:top w:val="single" w:color="auto" w:sz="4" w:space="0"/>
              <w:left w:val="single" w:color="auto" w:sz="4" w:space="0"/>
              <w:bottom w:val="single" w:color="auto" w:sz="4" w:space="0"/>
              <w:right w:val="single" w:color="auto" w:sz="4" w:space="0"/>
            </w:tcBorders>
            <w:vAlign w:val="center"/>
          </w:tcPr>
          <w:p w14:paraId="4C42F8F4">
            <w:pPr>
              <w:jc w:val="center"/>
              <w:rPr>
                <w:rFonts w:hint="eastAsia" w:ascii="宋体" w:hAnsi="宋体" w:eastAsia="宋体" w:cs="宋体"/>
                <w:sz w:val="18"/>
                <w:szCs w:val="18"/>
              </w:rPr>
            </w:pPr>
            <w:r>
              <w:rPr>
                <w:rFonts w:hint="eastAsia" w:ascii="宋体" w:hAnsi="宋体" w:eastAsia="宋体" w:cs="宋体"/>
                <w:sz w:val="18"/>
                <w:szCs w:val="18"/>
              </w:rPr>
              <w:t>国际中文教育</w:t>
            </w:r>
          </w:p>
          <w:p w14:paraId="40558541">
            <w:pPr>
              <w:jc w:val="center"/>
              <w:rPr>
                <w:rFonts w:hint="eastAsia" w:ascii="宋体" w:hAnsi="宋体" w:eastAsia="宋体" w:cs="宋体"/>
                <w:sz w:val="18"/>
                <w:szCs w:val="18"/>
              </w:rPr>
            </w:pPr>
            <w:r>
              <w:rPr>
                <w:rFonts w:hint="eastAsia" w:ascii="宋体" w:hAnsi="宋体" w:eastAsia="宋体" w:cs="宋体"/>
                <w:sz w:val="18"/>
                <w:szCs w:val="18"/>
              </w:rPr>
              <w:t>理论与实践</w:t>
            </w:r>
          </w:p>
        </w:tc>
        <w:tc>
          <w:tcPr>
            <w:tcW w:w="7800" w:type="dxa"/>
            <w:tcBorders>
              <w:top w:val="single" w:color="auto" w:sz="4" w:space="0"/>
              <w:left w:val="single" w:color="auto" w:sz="4" w:space="0"/>
              <w:bottom w:val="single" w:color="auto" w:sz="4" w:space="0"/>
              <w:right w:val="single" w:color="auto" w:sz="4" w:space="0"/>
            </w:tcBorders>
            <w:vAlign w:val="center"/>
          </w:tcPr>
          <w:p w14:paraId="2BE5D592">
            <w:pPr>
              <w:pStyle w:val="4"/>
              <w:spacing w:line="340" w:lineRule="exact"/>
              <w:rPr>
                <w:rFonts w:hint="eastAsia" w:ascii="宋体" w:hAnsi="宋体" w:eastAsia="宋体" w:cs="宋体"/>
                <w:sz w:val="18"/>
                <w:szCs w:val="18"/>
              </w:rPr>
            </w:pPr>
            <w:r>
              <w:rPr>
                <w:rFonts w:hint="eastAsia" w:ascii="宋体" w:hAnsi="宋体" w:eastAsia="宋体" w:cs="宋体"/>
                <w:sz w:val="18"/>
                <w:szCs w:val="18"/>
              </w:rPr>
              <w:t>该方向培养的毕业生具有较高的汉语和外语素养，掌握汉语作为第二语言教学的基本技能，了解国际中文教育理论的内涵，具备运用汉外双语进行国际中文教育的基本素养和技能，既能够从理论高度审视国际中文教育，又能够立足实际从事对外汉语教学。</w:t>
            </w:r>
          </w:p>
          <w:p w14:paraId="2B3F1C67">
            <w:pPr>
              <w:pStyle w:val="4"/>
              <w:spacing w:line="340" w:lineRule="exact"/>
              <w:jc w:val="both"/>
              <w:rPr>
                <w:rFonts w:hint="eastAsia" w:ascii="宋体" w:hAnsi="宋体" w:eastAsia="宋体" w:cs="宋体"/>
                <w:sz w:val="18"/>
                <w:szCs w:val="18"/>
              </w:rPr>
            </w:pPr>
            <w:r>
              <w:rPr>
                <w:rFonts w:ascii="Times New Roman" w:hAnsi="Times New Roman" w:eastAsia="宋体" w:cs="Times New Roman"/>
                <w:sz w:val="18"/>
                <w:szCs w:val="18"/>
              </w:rPr>
              <w:t>The graduates trained in this direction have a high level of proficiency in Chinese and foreign languages, mastering the basic skills of teaching Chinese as a second language, understanding the connotation of international Chinese education theory, and possessing the basic literacy and skills of using bilingual Chinese and foreign languages for international Chinese education. They can not only examine international Chinese education from a theoretical perspective, but also engage in teaching Chinese as a foreign language based on practice.</w:t>
            </w:r>
          </w:p>
        </w:tc>
        <w:tc>
          <w:tcPr>
            <w:tcW w:w="4095" w:type="dxa"/>
            <w:tcBorders>
              <w:left w:val="single" w:color="auto" w:sz="4" w:space="0"/>
            </w:tcBorders>
            <w:vAlign w:val="center"/>
          </w:tcPr>
          <w:p w14:paraId="2F317782">
            <w:pPr>
              <w:spacing w:line="400" w:lineRule="exact"/>
              <w:jc w:val="left"/>
              <w:rPr>
                <w:rFonts w:hint="eastAsia" w:ascii="宋体" w:hAnsi="宋体" w:eastAsia="宋体" w:cs="宋体"/>
                <w:sz w:val="18"/>
                <w:szCs w:val="18"/>
              </w:rPr>
            </w:pPr>
            <w:r>
              <w:rPr>
                <w:rFonts w:hint="eastAsia" w:ascii="宋体" w:hAnsi="宋体" w:eastAsia="宋体" w:cs="宋体"/>
                <w:sz w:val="18"/>
                <w:szCs w:val="18"/>
              </w:rPr>
              <w:t>汉外语言对比、汉语作为第二语言教学、教学资源与现代语言教育技术、教学设计与课堂管理、偏误分析、课堂观察与实践、国外汉语课堂教学案例</w:t>
            </w:r>
          </w:p>
          <w:p w14:paraId="17C272C5">
            <w:pPr>
              <w:spacing w:line="300" w:lineRule="exact"/>
              <w:rPr>
                <w:rFonts w:hint="eastAsia" w:ascii="宋体" w:hAnsi="宋体" w:eastAsia="宋体" w:cs="宋体"/>
                <w:sz w:val="18"/>
                <w:szCs w:val="18"/>
              </w:rPr>
            </w:pPr>
            <w:r>
              <w:rPr>
                <w:rFonts w:hint="eastAsia" w:ascii="宋体" w:hAnsi="宋体" w:eastAsia="宋体" w:cs="宋体"/>
                <w:sz w:val="18"/>
                <w:szCs w:val="18"/>
              </w:rPr>
              <w:t>Comparison of Chinese and Foreign Languages, Teaching Chinese as a Second Language, Teaching Resources and Modern Language Education Technology, Teaching Design and Classroom Management, Error Analysis, Classroom Observation and Practice, Foreign Chinese Classroom Teaching Cases</w:t>
            </w:r>
          </w:p>
        </w:tc>
      </w:tr>
      <w:tr w14:paraId="77FB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95" w:type="dxa"/>
            <w:vMerge w:val="continue"/>
            <w:tcBorders>
              <w:right w:val="single" w:color="auto" w:sz="4" w:space="0"/>
            </w:tcBorders>
            <w:vAlign w:val="center"/>
          </w:tcPr>
          <w:p w14:paraId="06177BFA">
            <w:pPr>
              <w:spacing w:line="380" w:lineRule="exact"/>
              <w:jc w:val="center"/>
              <w:rPr>
                <w:rFonts w:hint="eastAsia" w:ascii="宋体" w:hAnsi="宋体" w:eastAsia="宋体" w:cs="宋体"/>
                <w:sz w:val="18"/>
                <w:szCs w:val="18"/>
              </w:rPr>
            </w:pPr>
          </w:p>
        </w:tc>
        <w:tc>
          <w:tcPr>
            <w:tcW w:w="1687" w:type="dxa"/>
            <w:tcBorders>
              <w:top w:val="single" w:color="auto" w:sz="4" w:space="0"/>
              <w:left w:val="single" w:color="auto" w:sz="4" w:space="0"/>
              <w:bottom w:val="single" w:color="auto" w:sz="4" w:space="0"/>
              <w:right w:val="single" w:color="auto" w:sz="4" w:space="0"/>
            </w:tcBorders>
            <w:vAlign w:val="center"/>
          </w:tcPr>
          <w:p w14:paraId="4DFBD4A6">
            <w:pPr>
              <w:jc w:val="center"/>
              <w:rPr>
                <w:rFonts w:hint="eastAsia" w:ascii="宋体" w:hAnsi="宋体" w:eastAsia="宋体" w:cs="宋体"/>
                <w:sz w:val="18"/>
                <w:szCs w:val="18"/>
              </w:rPr>
            </w:pPr>
            <w:r>
              <w:rPr>
                <w:rFonts w:hint="eastAsia" w:ascii="宋体" w:hAnsi="宋体" w:eastAsia="宋体" w:cs="宋体"/>
                <w:sz w:val="18"/>
                <w:szCs w:val="18"/>
              </w:rPr>
              <w:t>跨文化交际</w:t>
            </w:r>
          </w:p>
        </w:tc>
        <w:tc>
          <w:tcPr>
            <w:tcW w:w="7800" w:type="dxa"/>
            <w:tcBorders>
              <w:top w:val="single" w:color="auto" w:sz="4" w:space="0"/>
              <w:left w:val="single" w:color="auto" w:sz="4" w:space="0"/>
              <w:bottom w:val="single" w:color="auto" w:sz="4" w:space="0"/>
              <w:right w:val="single" w:color="auto" w:sz="4" w:space="0"/>
            </w:tcBorders>
            <w:vAlign w:val="center"/>
          </w:tcPr>
          <w:p w14:paraId="5119D24C">
            <w:pPr>
              <w:spacing w:line="300" w:lineRule="exact"/>
              <w:rPr>
                <w:rFonts w:hint="eastAsia" w:ascii="宋体" w:hAnsi="宋体" w:eastAsia="宋体" w:cs="宋体"/>
                <w:sz w:val="18"/>
                <w:szCs w:val="18"/>
              </w:rPr>
            </w:pPr>
            <w:r>
              <w:rPr>
                <w:rFonts w:hint="eastAsia" w:ascii="宋体" w:hAnsi="宋体" w:eastAsia="宋体" w:cs="宋体"/>
                <w:sz w:val="18"/>
                <w:szCs w:val="18"/>
              </w:rPr>
              <w:t>该方向构建“双轨”制人才培养模式，培养的毕业生既熟悉海外特定地区经济、文化、教育、法律等知识，又具有扎实的语言理论、汉语和英语语言基础，能推进专业知识与语言教学的深度融合，实现“专业+语言”的复合对接，是拥有较高的人文综合素养且全面了解中外历史文化的跨文化交际人才。</w:t>
            </w:r>
          </w:p>
          <w:p w14:paraId="66A5A053">
            <w:pPr>
              <w:spacing w:line="300" w:lineRule="exact"/>
              <w:rPr>
                <w:rFonts w:hint="eastAsia" w:ascii="宋体" w:hAnsi="宋体" w:eastAsia="宋体" w:cs="宋体"/>
                <w:sz w:val="18"/>
                <w:szCs w:val="18"/>
              </w:rPr>
            </w:pPr>
            <w:r>
              <w:rPr>
                <w:rFonts w:ascii="Times New Roman" w:hAnsi="Times New Roman" w:eastAsia="宋体" w:cs="Times New Roman"/>
                <w:sz w:val="18"/>
                <w:szCs w:val="18"/>
              </w:rPr>
              <w:t>This direction constructs a "dual track" talent training model, cultivating graduates who are familiar with the economy, culture, education, law and other knowledge of specific overseas regions, as well as have a solid foundation in language theory, Chinese and English language. They can promote the deep integration of professional knowledge and language teaching, achieve the composite docking of "professional+language", and are cross-cultural communication talents with high humanistic comprehensive literacy and comprehensive understanding of Chinese and foreign history and culture.</w:t>
            </w:r>
          </w:p>
        </w:tc>
        <w:tc>
          <w:tcPr>
            <w:tcW w:w="4095" w:type="dxa"/>
            <w:tcBorders>
              <w:left w:val="single" w:color="auto" w:sz="4" w:space="0"/>
            </w:tcBorders>
            <w:vAlign w:val="center"/>
          </w:tcPr>
          <w:p w14:paraId="7B046D82">
            <w:pPr>
              <w:spacing w:line="320" w:lineRule="exact"/>
              <w:jc w:val="left"/>
              <w:rPr>
                <w:rFonts w:hint="eastAsia" w:ascii="宋体" w:hAnsi="宋体" w:eastAsia="宋体" w:cs="宋体"/>
                <w:sz w:val="18"/>
                <w:szCs w:val="18"/>
              </w:rPr>
            </w:pPr>
            <w:r>
              <w:rPr>
                <w:rFonts w:hint="eastAsia" w:ascii="宋体" w:hAnsi="宋体" w:eastAsia="宋体" w:cs="宋体"/>
                <w:sz w:val="18"/>
                <w:szCs w:val="18"/>
              </w:rPr>
              <w:t>跨文化交际、礼仪与国际关系、中外文化交流专题、国别与地域文化</w:t>
            </w:r>
          </w:p>
          <w:p w14:paraId="73EA20DD">
            <w:pPr>
              <w:spacing w:line="320" w:lineRule="exact"/>
              <w:rPr>
                <w:rFonts w:hint="eastAsia" w:ascii="宋体" w:hAnsi="宋体" w:eastAsia="宋体" w:cs="宋体"/>
                <w:sz w:val="18"/>
                <w:szCs w:val="18"/>
              </w:rPr>
            </w:pPr>
            <w:r>
              <w:rPr>
                <w:rFonts w:ascii="Times New Roman" w:hAnsi="Times New Roman" w:eastAsia="宋体" w:cs="Times New Roman"/>
                <w:sz w:val="18"/>
                <w:szCs w:val="18"/>
              </w:rPr>
              <w:t>Cross cultural communication, etiquette and international relations, special topics on cultural exchange between China and foreign countries, national and regional cultures</w:t>
            </w:r>
          </w:p>
        </w:tc>
      </w:tr>
      <w:tr w14:paraId="13CD8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695" w:type="dxa"/>
            <w:vMerge w:val="continue"/>
            <w:tcBorders>
              <w:right w:val="single" w:color="auto" w:sz="4" w:space="0"/>
            </w:tcBorders>
            <w:vAlign w:val="center"/>
          </w:tcPr>
          <w:p w14:paraId="0F71570A">
            <w:pPr>
              <w:spacing w:line="380" w:lineRule="exact"/>
              <w:jc w:val="center"/>
              <w:rPr>
                <w:rFonts w:hint="eastAsia" w:ascii="宋体" w:hAnsi="宋体" w:eastAsia="宋体" w:cs="宋体"/>
                <w:sz w:val="18"/>
                <w:szCs w:val="18"/>
              </w:rPr>
            </w:pPr>
          </w:p>
        </w:tc>
        <w:tc>
          <w:tcPr>
            <w:tcW w:w="1687" w:type="dxa"/>
            <w:tcBorders>
              <w:top w:val="single" w:color="auto" w:sz="4" w:space="0"/>
              <w:left w:val="single" w:color="auto" w:sz="4" w:space="0"/>
              <w:bottom w:val="single" w:color="auto" w:sz="4" w:space="0"/>
              <w:right w:val="single" w:color="auto" w:sz="4" w:space="0"/>
            </w:tcBorders>
            <w:vAlign w:val="center"/>
          </w:tcPr>
          <w:p w14:paraId="0A24DD3F">
            <w:pPr>
              <w:jc w:val="center"/>
              <w:rPr>
                <w:rFonts w:hint="eastAsia" w:ascii="宋体" w:hAnsi="宋体" w:eastAsia="宋体" w:cs="宋体"/>
                <w:sz w:val="18"/>
                <w:szCs w:val="18"/>
              </w:rPr>
            </w:pPr>
            <w:r>
              <w:rPr>
                <w:rFonts w:hint="eastAsia" w:ascii="宋体" w:hAnsi="宋体" w:eastAsia="宋体" w:cs="宋体"/>
                <w:sz w:val="18"/>
                <w:szCs w:val="18"/>
              </w:rPr>
              <w:t>中华文化</w:t>
            </w:r>
          </w:p>
          <w:p w14:paraId="43487FB8">
            <w:pPr>
              <w:jc w:val="center"/>
              <w:rPr>
                <w:rFonts w:hint="eastAsia" w:ascii="宋体" w:hAnsi="宋体" w:eastAsia="宋体" w:cs="宋体"/>
                <w:sz w:val="18"/>
                <w:szCs w:val="18"/>
              </w:rPr>
            </w:pPr>
            <w:r>
              <w:rPr>
                <w:rFonts w:hint="eastAsia" w:ascii="宋体" w:hAnsi="宋体" w:eastAsia="宋体" w:cs="宋体"/>
                <w:sz w:val="18"/>
                <w:szCs w:val="18"/>
              </w:rPr>
              <w:t>海外传播</w:t>
            </w:r>
          </w:p>
        </w:tc>
        <w:tc>
          <w:tcPr>
            <w:tcW w:w="7800" w:type="dxa"/>
            <w:tcBorders>
              <w:top w:val="single" w:color="auto" w:sz="4" w:space="0"/>
              <w:left w:val="single" w:color="auto" w:sz="4" w:space="0"/>
              <w:bottom w:val="single" w:color="auto" w:sz="4" w:space="0"/>
              <w:right w:val="single" w:color="auto" w:sz="4" w:space="0"/>
            </w:tcBorders>
            <w:vAlign w:val="center"/>
          </w:tcPr>
          <w:p w14:paraId="4F589AC6">
            <w:pPr>
              <w:spacing w:line="300" w:lineRule="exact"/>
              <w:rPr>
                <w:rFonts w:hint="eastAsia" w:ascii="宋体" w:hAnsi="宋体" w:eastAsia="宋体" w:cs="宋体"/>
                <w:sz w:val="18"/>
                <w:szCs w:val="18"/>
              </w:rPr>
            </w:pPr>
            <w:r>
              <w:rPr>
                <w:rFonts w:hint="eastAsia" w:ascii="宋体" w:hAnsi="宋体" w:eastAsia="宋体" w:cs="宋体"/>
                <w:sz w:val="18"/>
                <w:szCs w:val="18"/>
              </w:rPr>
              <w:t>该方向培养的毕业生具备扎实的中华文化海外传播知识、较高的文化海外传播能力，深入了解齐文化的丰富内涵及其时代价值，掌握文化传播的方法和路径，是促进中华文化海外传播（尤其是齐文化）、中外文化交流以及掌握媒介文化传播理论与实践的高层次应用型人才。</w:t>
            </w:r>
          </w:p>
          <w:p w14:paraId="15366B1C">
            <w:pPr>
              <w:spacing w:line="300" w:lineRule="exact"/>
              <w:rPr>
                <w:rFonts w:hint="eastAsia" w:ascii="宋体" w:hAnsi="宋体" w:eastAsia="宋体" w:cs="宋体"/>
                <w:sz w:val="18"/>
                <w:szCs w:val="18"/>
              </w:rPr>
            </w:pPr>
            <w:r>
              <w:rPr>
                <w:rFonts w:ascii="Times New Roman" w:hAnsi="Times New Roman" w:eastAsia="宋体" w:cs="Times New Roman"/>
                <w:sz w:val="18"/>
                <w:szCs w:val="18"/>
              </w:rPr>
              <w:t>Graduates trained in this direction possess solid knowledge of Chinese culture overseas dissemination, high cultural overseas dissemination abilities, in-depth understanding of the rich connotation and contemporary value of Qi culture, mastery of methods and paths of cultural dissemination, and are high-level applied talents who promote the overseas dissemination of Chinese culture (especially Qi culture), cultural exchanges between China and foreign countries, and master the theory and practice of media culture dissemination.</w:t>
            </w:r>
          </w:p>
        </w:tc>
        <w:tc>
          <w:tcPr>
            <w:tcW w:w="4095" w:type="dxa"/>
            <w:tcBorders>
              <w:left w:val="single" w:color="auto" w:sz="4" w:space="0"/>
            </w:tcBorders>
            <w:vAlign w:val="center"/>
          </w:tcPr>
          <w:p w14:paraId="63B7C818">
            <w:pPr>
              <w:spacing w:line="320" w:lineRule="exact"/>
              <w:jc w:val="left"/>
              <w:rPr>
                <w:rFonts w:hint="eastAsia" w:ascii="宋体" w:hAnsi="宋体" w:eastAsia="宋体" w:cs="宋体"/>
                <w:sz w:val="18"/>
                <w:szCs w:val="18"/>
              </w:rPr>
            </w:pPr>
            <w:r>
              <w:rPr>
                <w:rFonts w:hint="eastAsia" w:ascii="宋体" w:hAnsi="宋体" w:eastAsia="宋体" w:cs="宋体"/>
                <w:sz w:val="18"/>
                <w:szCs w:val="18"/>
              </w:rPr>
              <w:t>第二语言习得、中华文化与传播、齐文化概论、国别与地域文化、中华文化才艺与展示</w:t>
            </w:r>
          </w:p>
          <w:p w14:paraId="1C842008">
            <w:pPr>
              <w:spacing w:line="320" w:lineRule="exact"/>
              <w:rPr>
                <w:rFonts w:hint="eastAsia" w:ascii="宋体" w:hAnsi="宋体" w:eastAsia="宋体" w:cs="宋体"/>
                <w:sz w:val="18"/>
                <w:szCs w:val="18"/>
              </w:rPr>
            </w:pPr>
            <w:r>
              <w:rPr>
                <w:rFonts w:ascii="Times New Roman" w:hAnsi="Times New Roman" w:eastAsia="宋体" w:cs="Times New Roman"/>
                <w:sz w:val="18"/>
                <w:szCs w:val="18"/>
              </w:rPr>
              <w:t>Second language acquisition, Chinese culture and communication, Introduction to Qi culture, National and regional cultures, Chinese cultural talents and exhibitions</w:t>
            </w:r>
          </w:p>
        </w:tc>
      </w:tr>
    </w:tbl>
    <w:p w14:paraId="4EEE2C2B">
      <w:pPr>
        <w:rPr>
          <w:szCs w:val="28"/>
        </w:rPr>
        <w:sectPr>
          <w:footerReference r:id="rId3" w:type="default"/>
          <w:pgSz w:w="16838" w:h="11906" w:orient="landscape"/>
          <w:pgMar w:top="1797" w:right="1440" w:bottom="1797" w:left="1440" w:header="851" w:footer="992" w:gutter="0"/>
          <w:cols w:space="425" w:num="1"/>
          <w:docGrid w:type="linesAndChars" w:linePitch="312" w:charSpace="0"/>
        </w:sectPr>
      </w:pPr>
    </w:p>
    <w:p w14:paraId="22215732">
      <w:pPr>
        <w:pStyle w:val="5"/>
        <w:spacing w:before="156" w:beforeLines="50" w:after="156" w:afterLines="50"/>
        <w:ind w:firstLine="357"/>
        <w:rPr>
          <w:rFonts w:hint="eastAsia" w:ascii="黑体" w:hAnsi="黑体" w:eastAsia="黑体"/>
          <w:b/>
          <w:sz w:val="28"/>
          <w:szCs w:val="28"/>
        </w:rPr>
      </w:pPr>
      <w:r>
        <w:rPr>
          <w:rFonts w:ascii="黑体" w:hAnsi="黑体" w:eastAsia="黑体"/>
          <w:b/>
          <w:sz w:val="28"/>
          <w:szCs w:val="28"/>
        </w:rPr>
        <w:t>附表2：</w:t>
      </w:r>
      <w:r>
        <w:rPr>
          <w:rFonts w:hint="eastAsia" w:ascii="黑体" w:hAnsi="黑体" w:eastAsia="黑体"/>
          <w:b/>
          <w:sz w:val="28"/>
          <w:szCs w:val="28"/>
        </w:rPr>
        <w:t>培养计划</w:t>
      </w:r>
    </w:p>
    <w:tbl>
      <w:tblPr>
        <w:tblStyle w:val="13"/>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1"/>
        <w:gridCol w:w="270"/>
        <w:gridCol w:w="189"/>
        <w:gridCol w:w="1092"/>
        <w:gridCol w:w="2012"/>
        <w:gridCol w:w="88"/>
        <w:gridCol w:w="1542"/>
        <w:gridCol w:w="160"/>
        <w:gridCol w:w="641"/>
        <w:gridCol w:w="558"/>
        <w:gridCol w:w="558"/>
        <w:gridCol w:w="686"/>
      </w:tblGrid>
      <w:tr w14:paraId="2DC2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831" w:type="dxa"/>
            <w:gridSpan w:val="2"/>
            <w:vAlign w:val="center"/>
          </w:tcPr>
          <w:p w14:paraId="741AF061">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类别名称</w:t>
            </w:r>
          </w:p>
        </w:tc>
        <w:tc>
          <w:tcPr>
            <w:tcW w:w="3381" w:type="dxa"/>
            <w:gridSpan w:val="4"/>
            <w:vAlign w:val="center"/>
          </w:tcPr>
          <w:p w14:paraId="4884A390">
            <w:pPr>
              <w:spacing w:line="280" w:lineRule="exact"/>
              <w:jc w:val="center"/>
              <w:rPr>
                <w:rFonts w:hint="eastAsia" w:ascii="宋体" w:hAnsi="宋体" w:eastAsia="宋体" w:cs="宋体"/>
                <w:sz w:val="18"/>
                <w:szCs w:val="18"/>
              </w:rPr>
            </w:pPr>
            <w:r>
              <w:rPr>
                <w:rFonts w:hint="eastAsia" w:ascii="宋体" w:hAnsi="宋体" w:eastAsia="宋体" w:cs="宋体"/>
                <w:sz w:val="18"/>
                <w:szCs w:val="18"/>
              </w:rPr>
              <w:t>国际中文教育</w:t>
            </w:r>
          </w:p>
          <w:p w14:paraId="23839B90">
            <w:pPr>
              <w:spacing w:line="280" w:lineRule="exact"/>
              <w:jc w:val="center"/>
              <w:rPr>
                <w:rFonts w:hint="eastAsia" w:ascii="宋体" w:hAnsi="宋体" w:eastAsia="宋体" w:cs="宋体"/>
                <w:sz w:val="18"/>
                <w:szCs w:val="18"/>
              </w:rPr>
            </w:pPr>
            <w:r>
              <w:rPr>
                <w:rFonts w:ascii="Times New Roman" w:hAnsi="Times New Roman" w:eastAsia="宋体" w:cs="Times New Roman"/>
                <w:sz w:val="18"/>
                <w:szCs w:val="18"/>
              </w:rPr>
              <w:t>International Chinese Education</w:t>
            </w:r>
          </w:p>
        </w:tc>
        <w:tc>
          <w:tcPr>
            <w:tcW w:w="1542" w:type="dxa"/>
            <w:vAlign w:val="center"/>
          </w:tcPr>
          <w:p w14:paraId="0AF3AB66">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类别代码</w:t>
            </w:r>
          </w:p>
        </w:tc>
        <w:tc>
          <w:tcPr>
            <w:tcW w:w="2603" w:type="dxa"/>
            <w:gridSpan w:val="5"/>
            <w:vAlign w:val="center"/>
          </w:tcPr>
          <w:p w14:paraId="4103117E">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0453</w:t>
            </w:r>
          </w:p>
        </w:tc>
      </w:tr>
      <w:tr w14:paraId="39E18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831" w:type="dxa"/>
            <w:gridSpan w:val="2"/>
            <w:vAlign w:val="center"/>
          </w:tcPr>
          <w:p w14:paraId="2635254F">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单位名称</w:t>
            </w:r>
          </w:p>
        </w:tc>
        <w:tc>
          <w:tcPr>
            <w:tcW w:w="3381" w:type="dxa"/>
            <w:gridSpan w:val="4"/>
            <w:vAlign w:val="center"/>
          </w:tcPr>
          <w:p w14:paraId="5FE50A16">
            <w:pPr>
              <w:spacing w:line="280" w:lineRule="exact"/>
              <w:jc w:val="center"/>
              <w:rPr>
                <w:rFonts w:hint="eastAsia" w:ascii="宋体" w:hAnsi="宋体" w:eastAsia="宋体" w:cs="宋体"/>
                <w:sz w:val="18"/>
                <w:szCs w:val="18"/>
              </w:rPr>
            </w:pPr>
            <w:r>
              <w:rPr>
                <w:rFonts w:hint="eastAsia" w:ascii="宋体" w:hAnsi="宋体" w:eastAsia="宋体" w:cs="宋体"/>
                <w:sz w:val="18"/>
                <w:szCs w:val="18"/>
              </w:rPr>
              <w:t>文学与新闻传播学院</w:t>
            </w:r>
          </w:p>
          <w:p w14:paraId="70C0C548">
            <w:pPr>
              <w:spacing w:line="280" w:lineRule="exact"/>
              <w:jc w:val="center"/>
              <w:rPr>
                <w:rFonts w:hint="eastAsia" w:ascii="宋体" w:hAnsi="宋体" w:eastAsia="宋体" w:cs="宋体"/>
                <w:sz w:val="18"/>
                <w:szCs w:val="18"/>
              </w:rPr>
            </w:pPr>
            <w:r>
              <w:rPr>
                <w:rFonts w:ascii="Times New Roman" w:hAnsi="Times New Roman" w:eastAsia="宋体" w:cs="Times New Roman"/>
                <w:sz w:val="18"/>
                <w:szCs w:val="18"/>
              </w:rPr>
              <w:t>School of Literature and Journalism</w:t>
            </w:r>
          </w:p>
        </w:tc>
        <w:tc>
          <w:tcPr>
            <w:tcW w:w="1542" w:type="dxa"/>
            <w:vAlign w:val="center"/>
          </w:tcPr>
          <w:p w14:paraId="2E5D4C73">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培养类型</w:t>
            </w:r>
          </w:p>
        </w:tc>
        <w:tc>
          <w:tcPr>
            <w:tcW w:w="2603" w:type="dxa"/>
            <w:gridSpan w:val="5"/>
            <w:vAlign w:val="center"/>
          </w:tcPr>
          <w:p w14:paraId="4C4AA3D4">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全日制专业硕士留学研究生</w:t>
            </w:r>
          </w:p>
          <w:p w14:paraId="667BE3DD">
            <w:pPr>
              <w:spacing w:line="280" w:lineRule="exact"/>
              <w:jc w:val="center"/>
              <w:rPr>
                <w:rFonts w:hint="eastAsia" w:ascii="宋体" w:hAnsi="宋体" w:eastAsia="宋体" w:cs="宋体"/>
                <w:sz w:val="18"/>
                <w:szCs w:val="18"/>
              </w:rPr>
            </w:pPr>
            <w:r>
              <w:rPr>
                <w:rFonts w:ascii="Times New Roman" w:hAnsi="Times New Roman" w:eastAsia="宋体" w:cs="Times New Roman"/>
                <w:sz w:val="18"/>
                <w:szCs w:val="18"/>
              </w:rPr>
              <w:t>Full time professional master's degree students studying abroad</w:t>
            </w:r>
          </w:p>
        </w:tc>
      </w:tr>
      <w:tr w14:paraId="079A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831" w:type="dxa"/>
            <w:gridSpan w:val="2"/>
            <w:vAlign w:val="center"/>
          </w:tcPr>
          <w:p w14:paraId="1CC67E61">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学分要求</w:t>
            </w:r>
          </w:p>
        </w:tc>
        <w:tc>
          <w:tcPr>
            <w:tcW w:w="7526" w:type="dxa"/>
            <w:gridSpan w:val="10"/>
            <w:vAlign w:val="center"/>
          </w:tcPr>
          <w:p w14:paraId="05EB16CC">
            <w:pPr>
              <w:spacing w:line="30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总学分</w:t>
            </w:r>
            <w:r>
              <w:rPr>
                <w:rFonts w:hint="eastAsia" w:ascii="宋体" w:hAnsi="宋体" w:eastAsia="宋体" w:cs="宋体"/>
                <w:sz w:val="18"/>
                <w:szCs w:val="18"/>
              </w:rPr>
              <w:t>≥</w:t>
            </w:r>
            <w:r>
              <w:rPr>
                <w:rFonts w:hint="eastAsia" w:ascii="宋体" w:hAnsi="宋体" w:eastAsia="宋体" w:cs="宋体"/>
                <w:kern w:val="0"/>
                <w:sz w:val="18"/>
                <w:szCs w:val="18"/>
              </w:rPr>
              <w:t>42分，必修课程学分</w:t>
            </w:r>
            <w:r>
              <w:rPr>
                <w:rFonts w:hint="eastAsia" w:ascii="宋体" w:hAnsi="宋体" w:eastAsia="宋体" w:cs="宋体"/>
                <w:sz w:val="18"/>
                <w:szCs w:val="18"/>
              </w:rPr>
              <w:t>≥</w:t>
            </w:r>
            <w:r>
              <w:rPr>
                <w:rFonts w:hint="eastAsia" w:ascii="宋体" w:hAnsi="宋体" w:eastAsia="宋体" w:cs="宋体"/>
                <w:kern w:val="0"/>
                <w:sz w:val="18"/>
                <w:szCs w:val="18"/>
              </w:rPr>
              <w:t>17学分，选修课程学分</w:t>
            </w:r>
            <w:r>
              <w:rPr>
                <w:rFonts w:hint="eastAsia" w:ascii="宋体" w:hAnsi="宋体" w:eastAsia="宋体" w:cs="宋体"/>
                <w:sz w:val="18"/>
                <w:szCs w:val="18"/>
              </w:rPr>
              <w:t>≥</w:t>
            </w:r>
            <w:r>
              <w:rPr>
                <w:rFonts w:hint="eastAsia" w:ascii="宋体" w:hAnsi="宋体" w:eastAsia="宋体" w:cs="宋体"/>
                <w:kern w:val="0"/>
                <w:sz w:val="18"/>
                <w:szCs w:val="18"/>
              </w:rPr>
              <w:t>15学分，其他培养环节10学分。</w:t>
            </w:r>
          </w:p>
          <w:p w14:paraId="26D6557F">
            <w:pPr>
              <w:spacing w:line="300" w:lineRule="exact"/>
              <w:rPr>
                <w:rFonts w:hint="eastAsia" w:ascii="宋体" w:hAnsi="宋体" w:eastAsia="宋体" w:cs="宋体"/>
                <w:kern w:val="0"/>
                <w:sz w:val="18"/>
                <w:szCs w:val="18"/>
              </w:rPr>
            </w:pPr>
            <w:r>
              <w:rPr>
                <w:rFonts w:ascii="Times New Roman" w:hAnsi="Times New Roman" w:eastAsia="宋体" w:cs="Times New Roman"/>
                <w:kern w:val="0"/>
                <w:sz w:val="18"/>
                <w:szCs w:val="18"/>
              </w:rPr>
              <w:t>The total credits are ≥ 42, the credits for compulsory courses are ≥ 17, the credits for elective courses are ≥ 15, and the credits for other training programs are 10.</w:t>
            </w:r>
          </w:p>
        </w:tc>
      </w:tr>
      <w:tr w14:paraId="4E0A9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9357" w:type="dxa"/>
            <w:gridSpan w:val="12"/>
            <w:vAlign w:val="center"/>
          </w:tcPr>
          <w:p w14:paraId="529C3784">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 程 设 置</w:t>
            </w:r>
          </w:p>
        </w:tc>
      </w:tr>
      <w:tr w14:paraId="20AC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Align w:val="center"/>
          </w:tcPr>
          <w:p w14:paraId="085BE75A">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课程类型</w:t>
            </w:r>
          </w:p>
        </w:tc>
        <w:tc>
          <w:tcPr>
            <w:tcW w:w="1092" w:type="dxa"/>
            <w:vAlign w:val="center"/>
          </w:tcPr>
          <w:p w14:paraId="48C72583">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课程编码</w:t>
            </w:r>
          </w:p>
        </w:tc>
        <w:tc>
          <w:tcPr>
            <w:tcW w:w="4443" w:type="dxa"/>
            <w:gridSpan w:val="5"/>
            <w:vAlign w:val="center"/>
          </w:tcPr>
          <w:p w14:paraId="1AF6E6D0">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课程名称</w:t>
            </w:r>
          </w:p>
        </w:tc>
        <w:tc>
          <w:tcPr>
            <w:tcW w:w="558" w:type="dxa"/>
            <w:vAlign w:val="center"/>
          </w:tcPr>
          <w:p w14:paraId="0D017356">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学分</w:t>
            </w:r>
          </w:p>
        </w:tc>
        <w:tc>
          <w:tcPr>
            <w:tcW w:w="558" w:type="dxa"/>
            <w:vAlign w:val="center"/>
          </w:tcPr>
          <w:p w14:paraId="0BB25F72">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学期</w:t>
            </w:r>
          </w:p>
        </w:tc>
        <w:tc>
          <w:tcPr>
            <w:tcW w:w="686" w:type="dxa"/>
            <w:vAlign w:val="center"/>
          </w:tcPr>
          <w:p w14:paraId="55044A8A">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备注</w:t>
            </w:r>
          </w:p>
        </w:tc>
      </w:tr>
      <w:tr w14:paraId="75C06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restart"/>
            <w:vAlign w:val="center"/>
          </w:tcPr>
          <w:p w14:paraId="146404DC">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公共必修课程</w:t>
            </w:r>
          </w:p>
          <w:p w14:paraId="5C1B3367">
            <w:pPr>
              <w:pStyle w:val="5"/>
              <w:spacing w:line="360" w:lineRule="exact"/>
              <w:ind w:firstLine="0"/>
              <w:jc w:val="center"/>
              <w:rPr>
                <w:rFonts w:hint="eastAsia" w:ascii="宋体" w:hAnsi="宋体" w:cs="宋体"/>
                <w:b/>
                <w:sz w:val="18"/>
                <w:szCs w:val="18"/>
              </w:rPr>
            </w:pPr>
            <w:r>
              <w:rPr>
                <w:rFonts w:hint="eastAsia" w:ascii="宋体" w:hAnsi="宋体" w:cs="宋体"/>
                <w:sz w:val="18"/>
                <w:szCs w:val="18"/>
              </w:rPr>
              <w:t>（5学分）</w:t>
            </w:r>
          </w:p>
        </w:tc>
        <w:tc>
          <w:tcPr>
            <w:tcW w:w="1092" w:type="dxa"/>
            <w:vAlign w:val="center"/>
          </w:tcPr>
          <w:p w14:paraId="1A8FDB33">
            <w:pPr>
              <w:jc w:val="center"/>
              <w:rPr>
                <w:rFonts w:hint="eastAsia" w:ascii="宋体" w:hAnsi="宋体" w:eastAsia="宋体" w:cs="宋体"/>
                <w:sz w:val="18"/>
                <w:szCs w:val="18"/>
              </w:rPr>
            </w:pPr>
            <w:r>
              <w:rPr>
                <w:sz w:val="18"/>
                <w:szCs w:val="18"/>
              </w:rPr>
              <w:t>G16007</w:t>
            </w:r>
          </w:p>
        </w:tc>
        <w:tc>
          <w:tcPr>
            <w:tcW w:w="4443" w:type="dxa"/>
            <w:gridSpan w:val="5"/>
            <w:vAlign w:val="center"/>
          </w:tcPr>
          <w:p w14:paraId="1BD8F2C5">
            <w:pPr>
              <w:rPr>
                <w:rFonts w:hint="eastAsia" w:asciiTheme="minorEastAsia" w:hAnsiTheme="minorEastAsia"/>
                <w:sz w:val="18"/>
                <w:szCs w:val="18"/>
              </w:rPr>
            </w:pPr>
            <w:r>
              <w:rPr>
                <w:rFonts w:hint="eastAsia" w:asciiTheme="minorEastAsia" w:hAnsiTheme="minorEastAsia"/>
                <w:sz w:val="18"/>
                <w:szCs w:val="18"/>
              </w:rPr>
              <w:t>中国文化</w:t>
            </w:r>
          </w:p>
          <w:p w14:paraId="6CE62EBB">
            <w:pPr>
              <w:jc w:val="left"/>
              <w:rPr>
                <w:rFonts w:ascii="Times New Roman" w:hAnsi="Times New Roman" w:eastAsia="宋体" w:cs="Times New Roman"/>
                <w:sz w:val="18"/>
                <w:szCs w:val="18"/>
              </w:rPr>
            </w:pPr>
            <w:r>
              <w:rPr>
                <w:rFonts w:hint="eastAsia" w:asciiTheme="minorEastAsia" w:hAnsiTheme="minorEastAsia"/>
                <w:sz w:val="18"/>
                <w:szCs w:val="18"/>
              </w:rPr>
              <w:t>Chinese Culture</w:t>
            </w:r>
          </w:p>
        </w:tc>
        <w:tc>
          <w:tcPr>
            <w:tcW w:w="558" w:type="dxa"/>
            <w:vAlign w:val="center"/>
          </w:tcPr>
          <w:p w14:paraId="559B9A7E">
            <w:pPr>
              <w:pStyle w:val="5"/>
              <w:spacing w:line="240" w:lineRule="auto"/>
              <w:ind w:firstLine="0"/>
              <w:jc w:val="center"/>
              <w:rPr>
                <w:rFonts w:hint="eastAsia" w:ascii="宋体" w:hAnsi="宋体" w:cs="宋体"/>
                <w:sz w:val="18"/>
                <w:szCs w:val="18"/>
              </w:rPr>
            </w:pPr>
            <w:r>
              <w:rPr>
                <w:sz w:val="18"/>
                <w:szCs w:val="18"/>
              </w:rPr>
              <w:t>2</w:t>
            </w:r>
          </w:p>
        </w:tc>
        <w:tc>
          <w:tcPr>
            <w:tcW w:w="558" w:type="dxa"/>
            <w:vAlign w:val="center"/>
          </w:tcPr>
          <w:p w14:paraId="4D82B69A">
            <w:pPr>
              <w:pStyle w:val="5"/>
              <w:spacing w:line="240" w:lineRule="auto"/>
              <w:ind w:firstLine="0"/>
              <w:jc w:val="center"/>
              <w:rPr>
                <w:rFonts w:hint="eastAsia" w:ascii="宋体" w:hAnsi="宋体" w:cs="宋体"/>
                <w:sz w:val="18"/>
                <w:szCs w:val="18"/>
              </w:rPr>
            </w:pPr>
            <w:r>
              <w:rPr>
                <w:sz w:val="18"/>
                <w:szCs w:val="18"/>
              </w:rPr>
              <w:t>1</w:t>
            </w:r>
          </w:p>
        </w:tc>
        <w:tc>
          <w:tcPr>
            <w:tcW w:w="686" w:type="dxa"/>
            <w:vMerge w:val="restart"/>
            <w:vAlign w:val="center"/>
          </w:tcPr>
          <w:p w14:paraId="2AA42231">
            <w:pPr>
              <w:pStyle w:val="5"/>
              <w:spacing w:line="240" w:lineRule="auto"/>
              <w:ind w:firstLine="0"/>
              <w:jc w:val="center"/>
              <w:rPr>
                <w:rFonts w:hint="eastAsia" w:ascii="宋体" w:hAnsi="宋体" w:cs="宋体"/>
                <w:bCs/>
                <w:sz w:val="18"/>
                <w:szCs w:val="18"/>
              </w:rPr>
            </w:pPr>
            <w:r>
              <w:rPr>
                <w:rFonts w:hint="eastAsia" w:ascii="宋体" w:hAnsi="宋体" w:cs="宋体"/>
                <w:bCs/>
                <w:sz w:val="18"/>
                <w:szCs w:val="18"/>
              </w:rPr>
              <w:t>必选</w:t>
            </w:r>
          </w:p>
        </w:tc>
      </w:tr>
      <w:tr w14:paraId="18FEE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7189DFFF">
            <w:pPr>
              <w:pStyle w:val="5"/>
              <w:spacing w:line="360" w:lineRule="exact"/>
              <w:ind w:firstLine="0"/>
              <w:jc w:val="center"/>
              <w:rPr>
                <w:rFonts w:hint="eastAsia" w:ascii="宋体" w:hAnsi="宋体" w:cs="宋体"/>
                <w:b/>
                <w:sz w:val="18"/>
                <w:szCs w:val="18"/>
              </w:rPr>
            </w:pPr>
          </w:p>
        </w:tc>
        <w:tc>
          <w:tcPr>
            <w:tcW w:w="1092" w:type="dxa"/>
            <w:vAlign w:val="center"/>
          </w:tcPr>
          <w:p w14:paraId="51632B27">
            <w:pPr>
              <w:jc w:val="center"/>
              <w:rPr>
                <w:rFonts w:hint="eastAsia" w:ascii="宋体" w:hAnsi="宋体" w:eastAsia="宋体" w:cs="宋体"/>
                <w:sz w:val="18"/>
                <w:szCs w:val="18"/>
              </w:rPr>
            </w:pPr>
            <w:r>
              <w:rPr>
                <w:sz w:val="18"/>
                <w:szCs w:val="18"/>
              </w:rPr>
              <w:t>G16001</w:t>
            </w:r>
          </w:p>
        </w:tc>
        <w:tc>
          <w:tcPr>
            <w:tcW w:w="4443" w:type="dxa"/>
            <w:gridSpan w:val="5"/>
            <w:vAlign w:val="center"/>
          </w:tcPr>
          <w:p w14:paraId="647B5833">
            <w:pPr>
              <w:rPr>
                <w:rFonts w:hint="eastAsia" w:asciiTheme="minorEastAsia" w:hAnsiTheme="minorEastAsia"/>
                <w:sz w:val="18"/>
                <w:szCs w:val="18"/>
              </w:rPr>
            </w:pPr>
            <w:r>
              <w:rPr>
                <w:rFonts w:hint="eastAsia" w:asciiTheme="minorEastAsia" w:hAnsiTheme="minorEastAsia"/>
                <w:sz w:val="18"/>
                <w:szCs w:val="18"/>
              </w:rPr>
              <w:t>汉语</w:t>
            </w:r>
          </w:p>
          <w:p w14:paraId="6AF37EFB">
            <w:pPr>
              <w:jc w:val="left"/>
              <w:rPr>
                <w:rFonts w:ascii="Times New Roman" w:hAnsi="Times New Roman" w:eastAsia="宋体" w:cs="Times New Roman"/>
                <w:sz w:val="18"/>
                <w:szCs w:val="18"/>
              </w:rPr>
            </w:pPr>
            <w:r>
              <w:rPr>
                <w:rFonts w:hint="eastAsia" w:asciiTheme="minorEastAsia" w:hAnsiTheme="minorEastAsia"/>
                <w:sz w:val="18"/>
                <w:szCs w:val="18"/>
              </w:rPr>
              <w:t>Chinese</w:t>
            </w:r>
          </w:p>
        </w:tc>
        <w:tc>
          <w:tcPr>
            <w:tcW w:w="558" w:type="dxa"/>
            <w:vAlign w:val="center"/>
          </w:tcPr>
          <w:p w14:paraId="1A5B56F3">
            <w:pPr>
              <w:pStyle w:val="5"/>
              <w:spacing w:line="240" w:lineRule="auto"/>
              <w:ind w:firstLine="0"/>
              <w:jc w:val="center"/>
              <w:rPr>
                <w:rFonts w:hint="eastAsia" w:ascii="宋体" w:hAnsi="宋体" w:cs="宋体"/>
                <w:sz w:val="18"/>
                <w:szCs w:val="18"/>
              </w:rPr>
            </w:pPr>
            <w:r>
              <w:rPr>
                <w:sz w:val="18"/>
                <w:szCs w:val="18"/>
              </w:rPr>
              <w:t>2</w:t>
            </w:r>
          </w:p>
        </w:tc>
        <w:tc>
          <w:tcPr>
            <w:tcW w:w="558" w:type="dxa"/>
            <w:vAlign w:val="center"/>
          </w:tcPr>
          <w:p w14:paraId="3D23742E">
            <w:pPr>
              <w:pStyle w:val="5"/>
              <w:spacing w:line="240" w:lineRule="auto"/>
              <w:ind w:firstLine="0"/>
              <w:jc w:val="center"/>
              <w:rPr>
                <w:rFonts w:hint="eastAsia" w:ascii="宋体" w:hAnsi="宋体" w:cs="宋体"/>
                <w:sz w:val="18"/>
                <w:szCs w:val="18"/>
              </w:rPr>
            </w:pPr>
            <w:r>
              <w:rPr>
                <w:sz w:val="18"/>
                <w:szCs w:val="18"/>
              </w:rPr>
              <w:t>1</w:t>
            </w:r>
          </w:p>
        </w:tc>
        <w:tc>
          <w:tcPr>
            <w:tcW w:w="686" w:type="dxa"/>
            <w:vMerge w:val="continue"/>
          </w:tcPr>
          <w:p w14:paraId="142CE2A1">
            <w:pPr>
              <w:pStyle w:val="5"/>
              <w:spacing w:line="240" w:lineRule="auto"/>
              <w:ind w:firstLine="0"/>
              <w:jc w:val="center"/>
              <w:rPr>
                <w:rFonts w:hint="eastAsia" w:ascii="宋体" w:hAnsi="宋体" w:cs="宋体"/>
                <w:b/>
                <w:sz w:val="18"/>
                <w:szCs w:val="18"/>
              </w:rPr>
            </w:pPr>
          </w:p>
        </w:tc>
      </w:tr>
      <w:tr w14:paraId="6083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06CDF07A">
            <w:pPr>
              <w:pStyle w:val="5"/>
              <w:spacing w:line="360" w:lineRule="exact"/>
              <w:ind w:firstLine="0"/>
              <w:jc w:val="center"/>
              <w:rPr>
                <w:rFonts w:hint="eastAsia" w:ascii="宋体" w:hAnsi="宋体" w:cs="宋体"/>
                <w:b/>
                <w:sz w:val="18"/>
                <w:szCs w:val="18"/>
              </w:rPr>
            </w:pPr>
          </w:p>
        </w:tc>
        <w:tc>
          <w:tcPr>
            <w:tcW w:w="1092" w:type="dxa"/>
            <w:vAlign w:val="center"/>
          </w:tcPr>
          <w:p w14:paraId="258F208F">
            <w:pPr>
              <w:jc w:val="center"/>
              <w:rPr>
                <w:rFonts w:hint="eastAsia" w:ascii="宋体" w:hAnsi="宋体" w:eastAsia="宋体" w:cs="宋体"/>
                <w:sz w:val="18"/>
                <w:szCs w:val="18"/>
              </w:rPr>
            </w:pPr>
            <w:r>
              <w:rPr>
                <w:sz w:val="18"/>
                <w:szCs w:val="18"/>
              </w:rPr>
              <w:t>G14001</w:t>
            </w:r>
          </w:p>
        </w:tc>
        <w:tc>
          <w:tcPr>
            <w:tcW w:w="4443" w:type="dxa"/>
            <w:gridSpan w:val="5"/>
            <w:vAlign w:val="center"/>
          </w:tcPr>
          <w:p w14:paraId="7EE0D62D">
            <w:pPr>
              <w:rPr>
                <w:rFonts w:hint="eastAsia" w:asciiTheme="minorEastAsia" w:hAnsiTheme="minorEastAsia"/>
                <w:sz w:val="18"/>
                <w:szCs w:val="18"/>
              </w:rPr>
            </w:pPr>
            <w:r>
              <w:rPr>
                <w:rFonts w:hint="eastAsia" w:asciiTheme="minorEastAsia" w:hAnsiTheme="minorEastAsia"/>
                <w:sz w:val="18"/>
                <w:szCs w:val="18"/>
              </w:rPr>
              <w:t>论文写作与学术规范</w:t>
            </w:r>
          </w:p>
          <w:p w14:paraId="12858073">
            <w:pPr>
              <w:jc w:val="left"/>
              <w:rPr>
                <w:rFonts w:hint="eastAsia" w:ascii="宋体" w:hAnsi="宋体" w:eastAsia="宋体" w:cs="宋体"/>
                <w:sz w:val="18"/>
                <w:szCs w:val="18"/>
              </w:rPr>
            </w:pPr>
            <w:r>
              <w:rPr>
                <w:rFonts w:hint="eastAsia" w:asciiTheme="minorEastAsia" w:hAnsiTheme="minorEastAsia"/>
                <w:sz w:val="18"/>
                <w:szCs w:val="18"/>
              </w:rPr>
              <w:t>Thesis Writing and Academic</w:t>
            </w:r>
          </w:p>
        </w:tc>
        <w:tc>
          <w:tcPr>
            <w:tcW w:w="558" w:type="dxa"/>
            <w:vAlign w:val="center"/>
          </w:tcPr>
          <w:p w14:paraId="269D783F">
            <w:pPr>
              <w:pStyle w:val="5"/>
              <w:spacing w:line="240" w:lineRule="auto"/>
              <w:ind w:firstLine="0"/>
              <w:jc w:val="center"/>
              <w:rPr>
                <w:rFonts w:hint="eastAsia" w:ascii="宋体" w:hAnsi="宋体" w:cs="宋体"/>
                <w:sz w:val="18"/>
                <w:szCs w:val="18"/>
              </w:rPr>
            </w:pPr>
            <w:r>
              <w:rPr>
                <w:sz w:val="18"/>
                <w:szCs w:val="18"/>
              </w:rPr>
              <w:t>1</w:t>
            </w:r>
          </w:p>
        </w:tc>
        <w:tc>
          <w:tcPr>
            <w:tcW w:w="558" w:type="dxa"/>
            <w:vAlign w:val="center"/>
          </w:tcPr>
          <w:p w14:paraId="021AD2C5">
            <w:pPr>
              <w:pStyle w:val="5"/>
              <w:spacing w:line="240" w:lineRule="auto"/>
              <w:ind w:firstLine="0"/>
              <w:jc w:val="center"/>
              <w:rPr>
                <w:rFonts w:hint="eastAsia" w:ascii="宋体" w:hAnsi="宋体" w:cs="宋体"/>
                <w:sz w:val="18"/>
                <w:szCs w:val="18"/>
              </w:rPr>
            </w:pPr>
            <w:r>
              <w:rPr>
                <w:sz w:val="18"/>
                <w:szCs w:val="18"/>
              </w:rPr>
              <w:t>1</w:t>
            </w:r>
          </w:p>
        </w:tc>
        <w:tc>
          <w:tcPr>
            <w:tcW w:w="686" w:type="dxa"/>
            <w:vMerge w:val="continue"/>
          </w:tcPr>
          <w:p w14:paraId="5A1486CA">
            <w:pPr>
              <w:pStyle w:val="5"/>
              <w:spacing w:line="240" w:lineRule="auto"/>
              <w:ind w:firstLine="0"/>
              <w:jc w:val="center"/>
              <w:rPr>
                <w:rFonts w:hint="eastAsia" w:ascii="宋体" w:hAnsi="宋体" w:cs="宋体"/>
                <w:b/>
                <w:sz w:val="18"/>
                <w:szCs w:val="18"/>
              </w:rPr>
            </w:pPr>
          </w:p>
        </w:tc>
      </w:tr>
      <w:tr w14:paraId="40ADD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restart"/>
            <w:vAlign w:val="center"/>
          </w:tcPr>
          <w:p w14:paraId="3AA4550C">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学科平台课程</w:t>
            </w:r>
          </w:p>
          <w:p w14:paraId="4D5F8540">
            <w:pPr>
              <w:spacing w:line="360" w:lineRule="exact"/>
              <w:jc w:val="center"/>
              <w:rPr>
                <w:rFonts w:hint="eastAsia" w:ascii="宋体" w:hAnsi="宋体" w:eastAsia="宋体" w:cs="宋体"/>
                <w:b/>
                <w:sz w:val="18"/>
                <w:szCs w:val="18"/>
              </w:rPr>
            </w:pPr>
            <w:r>
              <w:rPr>
                <w:rFonts w:hint="eastAsia" w:ascii="宋体" w:hAnsi="宋体" w:eastAsia="宋体" w:cs="宋体"/>
                <w:sz w:val="18"/>
                <w:szCs w:val="18"/>
              </w:rPr>
              <w:t>12学分</w:t>
            </w:r>
          </w:p>
        </w:tc>
        <w:tc>
          <w:tcPr>
            <w:tcW w:w="1092" w:type="dxa"/>
            <w:vAlign w:val="center"/>
          </w:tcPr>
          <w:p w14:paraId="6487C48F">
            <w:pPr>
              <w:pStyle w:val="5"/>
              <w:spacing w:line="240" w:lineRule="auto"/>
              <w:ind w:firstLine="0"/>
              <w:jc w:val="center"/>
              <w:rPr>
                <w:rFonts w:hint="eastAsia" w:ascii="宋体" w:hAnsi="宋体" w:cs="宋体"/>
                <w:sz w:val="18"/>
                <w:szCs w:val="18"/>
              </w:rPr>
            </w:pPr>
            <w:r>
              <w:rPr>
                <w:rFonts w:hint="eastAsia" w:ascii="宋体" w:hAnsi="宋体" w:cs="宋体"/>
                <w:sz w:val="18"/>
                <w:szCs w:val="18"/>
              </w:rPr>
              <w:t>130157</w:t>
            </w:r>
          </w:p>
        </w:tc>
        <w:tc>
          <w:tcPr>
            <w:tcW w:w="4443" w:type="dxa"/>
            <w:gridSpan w:val="5"/>
            <w:vAlign w:val="center"/>
          </w:tcPr>
          <w:p w14:paraId="478C99C2">
            <w:pPr>
              <w:jc w:val="left"/>
              <w:rPr>
                <w:rFonts w:hint="eastAsia" w:ascii="宋体" w:hAnsi="宋体" w:eastAsia="宋体" w:cs="宋体"/>
                <w:sz w:val="18"/>
                <w:szCs w:val="18"/>
              </w:rPr>
            </w:pPr>
            <w:r>
              <w:rPr>
                <w:rFonts w:hint="eastAsia" w:ascii="宋体" w:hAnsi="宋体" w:eastAsia="宋体" w:cs="宋体"/>
                <w:sz w:val="18"/>
                <w:szCs w:val="18"/>
              </w:rPr>
              <w:t>汉语作为第二语言教学</w:t>
            </w:r>
          </w:p>
          <w:p w14:paraId="77F39252">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Chinese as a Second Language</w:t>
            </w:r>
          </w:p>
        </w:tc>
        <w:tc>
          <w:tcPr>
            <w:tcW w:w="558" w:type="dxa"/>
            <w:vAlign w:val="center"/>
          </w:tcPr>
          <w:p w14:paraId="564154BD">
            <w:pPr>
              <w:jc w:val="center"/>
              <w:rPr>
                <w:rFonts w:hint="eastAsia" w:ascii="宋体" w:hAnsi="宋体" w:eastAsia="宋体" w:cs="宋体"/>
                <w:sz w:val="18"/>
                <w:szCs w:val="18"/>
              </w:rPr>
            </w:pPr>
            <w:r>
              <w:rPr>
                <w:rFonts w:hint="eastAsia" w:ascii="宋体" w:hAnsi="宋体" w:eastAsia="宋体" w:cs="宋体"/>
                <w:sz w:val="18"/>
                <w:szCs w:val="18"/>
              </w:rPr>
              <w:t>3</w:t>
            </w:r>
          </w:p>
        </w:tc>
        <w:tc>
          <w:tcPr>
            <w:tcW w:w="558" w:type="dxa"/>
            <w:vAlign w:val="center"/>
          </w:tcPr>
          <w:p w14:paraId="235CC7BB">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restart"/>
            <w:vAlign w:val="center"/>
          </w:tcPr>
          <w:p w14:paraId="39670815">
            <w:pPr>
              <w:jc w:val="center"/>
              <w:rPr>
                <w:rFonts w:hint="eastAsia" w:ascii="宋体" w:hAnsi="宋体" w:eastAsia="宋体" w:cs="宋体"/>
                <w:sz w:val="18"/>
                <w:szCs w:val="18"/>
              </w:rPr>
            </w:pPr>
            <w:r>
              <w:rPr>
                <w:rFonts w:hint="eastAsia" w:ascii="宋体" w:hAnsi="宋体" w:eastAsia="宋体" w:cs="宋体"/>
                <w:sz w:val="18"/>
                <w:szCs w:val="18"/>
              </w:rPr>
              <w:t>必选</w:t>
            </w:r>
          </w:p>
        </w:tc>
      </w:tr>
      <w:tr w14:paraId="1D61D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68C9CCF5">
            <w:pPr>
              <w:pStyle w:val="5"/>
              <w:spacing w:line="360" w:lineRule="exact"/>
              <w:ind w:firstLine="0"/>
              <w:jc w:val="center"/>
              <w:rPr>
                <w:rFonts w:hint="eastAsia" w:ascii="宋体" w:hAnsi="宋体" w:cs="宋体"/>
                <w:b/>
                <w:sz w:val="18"/>
                <w:szCs w:val="18"/>
              </w:rPr>
            </w:pPr>
          </w:p>
        </w:tc>
        <w:tc>
          <w:tcPr>
            <w:tcW w:w="1092" w:type="dxa"/>
            <w:vAlign w:val="center"/>
          </w:tcPr>
          <w:p w14:paraId="20C8B397">
            <w:pPr>
              <w:jc w:val="center"/>
              <w:rPr>
                <w:rFonts w:hint="eastAsia" w:ascii="宋体" w:hAnsi="宋体" w:eastAsia="宋体" w:cs="宋体"/>
                <w:sz w:val="18"/>
                <w:szCs w:val="18"/>
              </w:rPr>
            </w:pPr>
            <w:r>
              <w:rPr>
                <w:rFonts w:hint="eastAsia" w:ascii="宋体" w:hAnsi="宋体" w:eastAsia="宋体" w:cs="宋体"/>
                <w:sz w:val="18"/>
                <w:szCs w:val="18"/>
              </w:rPr>
              <w:t>130158</w:t>
            </w:r>
          </w:p>
        </w:tc>
        <w:tc>
          <w:tcPr>
            <w:tcW w:w="4443" w:type="dxa"/>
            <w:gridSpan w:val="5"/>
            <w:vAlign w:val="center"/>
          </w:tcPr>
          <w:p w14:paraId="4E9E6080">
            <w:pPr>
              <w:jc w:val="left"/>
              <w:rPr>
                <w:rFonts w:hint="eastAsia" w:ascii="宋体" w:hAnsi="宋体" w:eastAsia="宋体" w:cs="宋体"/>
                <w:sz w:val="18"/>
                <w:szCs w:val="18"/>
              </w:rPr>
            </w:pPr>
            <w:r>
              <w:rPr>
                <w:rFonts w:hint="eastAsia" w:ascii="宋体" w:hAnsi="宋体" w:eastAsia="宋体" w:cs="宋体"/>
                <w:sz w:val="18"/>
                <w:szCs w:val="18"/>
              </w:rPr>
              <w:t>第二语言习得</w:t>
            </w:r>
          </w:p>
          <w:p w14:paraId="2CE8F4A1">
            <w:pPr>
              <w:jc w:val="left"/>
              <w:rPr>
                <w:rFonts w:hint="eastAsia" w:ascii="宋体" w:hAnsi="宋体" w:eastAsia="宋体" w:cs="宋体"/>
                <w:sz w:val="18"/>
                <w:szCs w:val="18"/>
              </w:rPr>
            </w:pPr>
            <w:r>
              <w:rPr>
                <w:rFonts w:hint="eastAsia" w:ascii="Times New Roman" w:hAnsi="Times New Roman" w:eastAsia="宋体" w:cs="Times New Roman"/>
                <w:sz w:val="18"/>
                <w:szCs w:val="18"/>
              </w:rPr>
              <w:t>Second Language Acquisition</w:t>
            </w:r>
          </w:p>
        </w:tc>
        <w:tc>
          <w:tcPr>
            <w:tcW w:w="558" w:type="dxa"/>
            <w:vAlign w:val="center"/>
          </w:tcPr>
          <w:p w14:paraId="7FFD8E10">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vAlign w:val="center"/>
          </w:tcPr>
          <w:p w14:paraId="3D400A40">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vAlign w:val="center"/>
          </w:tcPr>
          <w:p w14:paraId="5CD61EA0">
            <w:pPr>
              <w:jc w:val="left"/>
              <w:rPr>
                <w:rFonts w:hint="eastAsia" w:ascii="宋体" w:hAnsi="宋体" w:eastAsia="宋体" w:cs="宋体"/>
                <w:sz w:val="18"/>
                <w:szCs w:val="18"/>
              </w:rPr>
            </w:pPr>
          </w:p>
        </w:tc>
      </w:tr>
      <w:tr w14:paraId="72770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20" w:type="dxa"/>
            <w:gridSpan w:val="3"/>
            <w:vMerge w:val="continue"/>
            <w:vAlign w:val="center"/>
          </w:tcPr>
          <w:p w14:paraId="4D863818">
            <w:pPr>
              <w:pStyle w:val="5"/>
              <w:spacing w:line="360" w:lineRule="exact"/>
              <w:ind w:firstLine="0"/>
              <w:jc w:val="center"/>
              <w:rPr>
                <w:rFonts w:hint="eastAsia" w:ascii="宋体" w:hAnsi="宋体" w:cs="宋体"/>
                <w:b/>
                <w:sz w:val="18"/>
                <w:szCs w:val="18"/>
              </w:rPr>
            </w:pPr>
          </w:p>
        </w:tc>
        <w:tc>
          <w:tcPr>
            <w:tcW w:w="1092" w:type="dxa"/>
            <w:vAlign w:val="center"/>
          </w:tcPr>
          <w:p w14:paraId="3122D247">
            <w:pPr>
              <w:jc w:val="center"/>
              <w:rPr>
                <w:rFonts w:hint="eastAsia" w:ascii="宋体" w:hAnsi="宋体" w:eastAsia="宋体" w:cs="宋体"/>
                <w:sz w:val="18"/>
                <w:szCs w:val="18"/>
              </w:rPr>
            </w:pPr>
            <w:r>
              <w:rPr>
                <w:rFonts w:hint="eastAsia" w:ascii="宋体" w:hAnsi="宋体" w:eastAsia="宋体" w:cs="宋体"/>
                <w:sz w:val="18"/>
                <w:szCs w:val="18"/>
              </w:rPr>
              <w:t>130159</w:t>
            </w:r>
          </w:p>
        </w:tc>
        <w:tc>
          <w:tcPr>
            <w:tcW w:w="4443" w:type="dxa"/>
            <w:gridSpan w:val="5"/>
            <w:vAlign w:val="center"/>
          </w:tcPr>
          <w:p w14:paraId="1FE9B44E">
            <w:pPr>
              <w:jc w:val="left"/>
              <w:rPr>
                <w:rFonts w:hint="eastAsia" w:ascii="宋体" w:hAnsi="宋体" w:eastAsia="宋体" w:cs="宋体"/>
                <w:sz w:val="18"/>
                <w:szCs w:val="18"/>
              </w:rPr>
            </w:pPr>
            <w:r>
              <w:rPr>
                <w:rFonts w:hint="eastAsia" w:ascii="宋体" w:hAnsi="宋体" w:eastAsia="宋体" w:cs="宋体"/>
                <w:sz w:val="18"/>
                <w:szCs w:val="18"/>
              </w:rPr>
              <w:t>跨文化交际（双语课）</w:t>
            </w:r>
          </w:p>
          <w:p w14:paraId="63B6C4E3">
            <w:pPr>
              <w:jc w:val="left"/>
              <w:rPr>
                <w:rFonts w:hint="eastAsia" w:ascii="宋体" w:hAnsi="宋体" w:eastAsia="宋体" w:cs="宋体"/>
                <w:sz w:val="18"/>
                <w:szCs w:val="18"/>
              </w:rPr>
            </w:pPr>
            <w:r>
              <w:rPr>
                <w:rFonts w:hint="eastAsia" w:ascii="Times New Roman" w:hAnsi="Times New Roman" w:eastAsia="宋体" w:cs="Times New Roman"/>
                <w:sz w:val="18"/>
                <w:szCs w:val="18"/>
              </w:rPr>
              <w:t>Intercultural Communication（Bilingual Classes）</w:t>
            </w:r>
          </w:p>
        </w:tc>
        <w:tc>
          <w:tcPr>
            <w:tcW w:w="558" w:type="dxa"/>
            <w:vAlign w:val="center"/>
          </w:tcPr>
          <w:p w14:paraId="75AC2D46">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vAlign w:val="center"/>
          </w:tcPr>
          <w:p w14:paraId="6951DD73">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04A96AE9">
            <w:pPr>
              <w:jc w:val="left"/>
              <w:rPr>
                <w:rFonts w:hint="eastAsia" w:ascii="宋体" w:hAnsi="宋体" w:eastAsia="宋体" w:cs="宋体"/>
                <w:sz w:val="18"/>
                <w:szCs w:val="18"/>
              </w:rPr>
            </w:pPr>
          </w:p>
        </w:tc>
      </w:tr>
      <w:tr w14:paraId="2E2D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020" w:type="dxa"/>
            <w:gridSpan w:val="3"/>
            <w:vMerge w:val="continue"/>
            <w:vAlign w:val="center"/>
          </w:tcPr>
          <w:p w14:paraId="5CA852FF">
            <w:pPr>
              <w:pStyle w:val="5"/>
              <w:spacing w:line="360" w:lineRule="exact"/>
              <w:ind w:firstLine="0"/>
              <w:jc w:val="center"/>
              <w:rPr>
                <w:rFonts w:hint="eastAsia" w:ascii="宋体" w:hAnsi="宋体" w:cs="宋体"/>
                <w:b/>
                <w:sz w:val="18"/>
                <w:szCs w:val="18"/>
              </w:rPr>
            </w:pPr>
          </w:p>
        </w:tc>
        <w:tc>
          <w:tcPr>
            <w:tcW w:w="1092" w:type="dxa"/>
            <w:vAlign w:val="center"/>
          </w:tcPr>
          <w:p w14:paraId="4084E604">
            <w:pPr>
              <w:jc w:val="center"/>
              <w:rPr>
                <w:rFonts w:hint="eastAsia" w:ascii="宋体" w:hAnsi="宋体" w:eastAsia="宋体" w:cs="宋体"/>
                <w:sz w:val="18"/>
                <w:szCs w:val="18"/>
              </w:rPr>
            </w:pPr>
            <w:r>
              <w:rPr>
                <w:rFonts w:hint="eastAsia" w:ascii="宋体" w:hAnsi="宋体" w:eastAsia="宋体" w:cs="宋体"/>
                <w:sz w:val="18"/>
                <w:szCs w:val="18"/>
              </w:rPr>
              <w:t>130160</w:t>
            </w:r>
          </w:p>
        </w:tc>
        <w:tc>
          <w:tcPr>
            <w:tcW w:w="4443" w:type="dxa"/>
            <w:gridSpan w:val="5"/>
            <w:vAlign w:val="center"/>
          </w:tcPr>
          <w:p w14:paraId="4578F813">
            <w:pPr>
              <w:jc w:val="left"/>
              <w:rPr>
                <w:rFonts w:hint="eastAsia" w:ascii="宋体" w:hAnsi="宋体" w:eastAsia="宋体" w:cs="宋体"/>
                <w:sz w:val="18"/>
                <w:szCs w:val="18"/>
              </w:rPr>
            </w:pPr>
            <w:r>
              <w:rPr>
                <w:rFonts w:hint="eastAsia" w:ascii="宋体" w:hAnsi="宋体" w:eastAsia="宋体" w:cs="宋体"/>
                <w:sz w:val="18"/>
                <w:szCs w:val="18"/>
              </w:rPr>
              <w:t>国际汉语课堂教学案例</w:t>
            </w:r>
          </w:p>
          <w:p w14:paraId="4CD1DBD3">
            <w:pPr>
              <w:jc w:val="left"/>
              <w:rPr>
                <w:rFonts w:hint="eastAsia" w:ascii="宋体" w:hAnsi="宋体" w:eastAsia="宋体" w:cs="宋体"/>
                <w:sz w:val="18"/>
                <w:szCs w:val="18"/>
              </w:rPr>
            </w:pPr>
            <w:r>
              <w:rPr>
                <w:rFonts w:hint="eastAsia" w:ascii="Times New Roman" w:hAnsi="Times New Roman" w:eastAsia="宋体" w:cs="Times New Roman"/>
                <w:sz w:val="18"/>
                <w:szCs w:val="18"/>
              </w:rPr>
              <w:t>International Chinese Classroom Teaching Cases</w:t>
            </w:r>
          </w:p>
        </w:tc>
        <w:tc>
          <w:tcPr>
            <w:tcW w:w="558" w:type="dxa"/>
            <w:vAlign w:val="center"/>
          </w:tcPr>
          <w:p w14:paraId="29EB0F36">
            <w:pPr>
              <w:jc w:val="center"/>
              <w:rPr>
                <w:rFonts w:hint="eastAsia" w:ascii="宋体" w:hAnsi="宋体" w:eastAsia="宋体" w:cs="宋体"/>
                <w:sz w:val="18"/>
                <w:szCs w:val="18"/>
              </w:rPr>
            </w:pPr>
            <w:r>
              <w:rPr>
                <w:rFonts w:hint="eastAsia" w:ascii="宋体" w:hAnsi="宋体" w:eastAsia="宋体" w:cs="宋体"/>
                <w:sz w:val="18"/>
                <w:szCs w:val="18"/>
              </w:rPr>
              <w:t>3</w:t>
            </w:r>
          </w:p>
        </w:tc>
        <w:tc>
          <w:tcPr>
            <w:tcW w:w="558" w:type="dxa"/>
            <w:vAlign w:val="center"/>
          </w:tcPr>
          <w:p w14:paraId="39B35120">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vAlign w:val="center"/>
          </w:tcPr>
          <w:p w14:paraId="2F3C0F8B">
            <w:pPr>
              <w:jc w:val="left"/>
              <w:rPr>
                <w:rFonts w:hint="eastAsia" w:ascii="宋体" w:hAnsi="宋体" w:eastAsia="宋体" w:cs="宋体"/>
                <w:sz w:val="18"/>
                <w:szCs w:val="18"/>
              </w:rPr>
            </w:pPr>
          </w:p>
        </w:tc>
      </w:tr>
      <w:tr w14:paraId="72D7A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0" w:type="dxa"/>
            <w:gridSpan w:val="3"/>
            <w:vMerge w:val="continue"/>
            <w:vAlign w:val="center"/>
          </w:tcPr>
          <w:p w14:paraId="12AFC593">
            <w:pPr>
              <w:pStyle w:val="5"/>
              <w:spacing w:line="360" w:lineRule="exact"/>
              <w:ind w:firstLine="0"/>
              <w:jc w:val="center"/>
              <w:rPr>
                <w:rFonts w:hint="eastAsia" w:ascii="宋体" w:hAnsi="宋体" w:cs="宋体"/>
                <w:b/>
                <w:sz w:val="18"/>
                <w:szCs w:val="18"/>
              </w:rPr>
            </w:pPr>
          </w:p>
        </w:tc>
        <w:tc>
          <w:tcPr>
            <w:tcW w:w="1092" w:type="dxa"/>
            <w:vAlign w:val="center"/>
          </w:tcPr>
          <w:p w14:paraId="7C3B5803">
            <w:pPr>
              <w:jc w:val="center"/>
              <w:rPr>
                <w:rFonts w:hint="eastAsia" w:ascii="宋体" w:hAnsi="宋体" w:eastAsia="宋体" w:cs="宋体"/>
                <w:sz w:val="18"/>
                <w:szCs w:val="18"/>
              </w:rPr>
            </w:pPr>
            <w:r>
              <w:rPr>
                <w:rFonts w:hint="eastAsia" w:ascii="宋体" w:hAnsi="宋体" w:eastAsia="宋体" w:cs="宋体"/>
                <w:sz w:val="18"/>
                <w:szCs w:val="18"/>
              </w:rPr>
              <w:t>130161</w:t>
            </w:r>
          </w:p>
        </w:tc>
        <w:tc>
          <w:tcPr>
            <w:tcW w:w="4443" w:type="dxa"/>
            <w:gridSpan w:val="5"/>
            <w:vAlign w:val="center"/>
          </w:tcPr>
          <w:p w14:paraId="0BAC7376">
            <w:pPr>
              <w:jc w:val="left"/>
              <w:rPr>
                <w:rFonts w:hint="eastAsia" w:ascii="宋体" w:hAnsi="宋体" w:eastAsia="宋体" w:cs="宋体"/>
                <w:sz w:val="18"/>
                <w:szCs w:val="18"/>
              </w:rPr>
            </w:pPr>
            <w:r>
              <w:rPr>
                <w:rFonts w:hint="eastAsia" w:ascii="宋体" w:hAnsi="宋体" w:eastAsia="宋体" w:cs="宋体"/>
                <w:sz w:val="18"/>
                <w:szCs w:val="18"/>
              </w:rPr>
              <w:t>中华文化与传播</w:t>
            </w:r>
          </w:p>
          <w:p w14:paraId="71D63FD2">
            <w:pPr>
              <w:jc w:val="left"/>
              <w:rPr>
                <w:rFonts w:hint="eastAsia" w:ascii="宋体" w:hAnsi="宋体" w:eastAsia="宋体" w:cs="宋体"/>
                <w:sz w:val="18"/>
                <w:szCs w:val="18"/>
              </w:rPr>
            </w:pPr>
            <w:r>
              <w:rPr>
                <w:rFonts w:hint="eastAsia" w:ascii="Times New Roman" w:hAnsi="Times New Roman" w:eastAsia="宋体" w:cs="Times New Roman"/>
                <w:sz w:val="18"/>
                <w:szCs w:val="18"/>
              </w:rPr>
              <w:t>Chinese Culture and Communication</w:t>
            </w:r>
          </w:p>
        </w:tc>
        <w:tc>
          <w:tcPr>
            <w:tcW w:w="558" w:type="dxa"/>
            <w:vAlign w:val="center"/>
          </w:tcPr>
          <w:p w14:paraId="435B3FD8">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vAlign w:val="center"/>
          </w:tcPr>
          <w:p w14:paraId="1EAD1252">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70A486E3">
            <w:pPr>
              <w:jc w:val="left"/>
              <w:rPr>
                <w:rFonts w:hint="eastAsia" w:ascii="宋体" w:hAnsi="宋体" w:eastAsia="宋体" w:cs="宋体"/>
                <w:sz w:val="18"/>
                <w:szCs w:val="18"/>
              </w:rPr>
            </w:pPr>
          </w:p>
        </w:tc>
      </w:tr>
      <w:tr w14:paraId="6136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20" w:type="dxa"/>
            <w:gridSpan w:val="3"/>
            <w:vMerge w:val="restart"/>
            <w:vAlign w:val="center"/>
          </w:tcPr>
          <w:p w14:paraId="573BE3E3">
            <w:pPr>
              <w:spacing w:line="360" w:lineRule="exact"/>
              <w:jc w:val="center"/>
              <w:rPr>
                <w:rFonts w:hint="eastAsia" w:ascii="宋体" w:hAnsi="宋体" w:eastAsia="宋体" w:cs="宋体"/>
                <w:b/>
                <w:sz w:val="18"/>
                <w:szCs w:val="18"/>
              </w:rPr>
            </w:pPr>
          </w:p>
          <w:p w14:paraId="2FA24EDD">
            <w:pPr>
              <w:spacing w:line="360" w:lineRule="exact"/>
              <w:jc w:val="center"/>
              <w:rPr>
                <w:rFonts w:hint="eastAsia" w:ascii="宋体" w:hAnsi="宋体" w:eastAsia="宋体" w:cs="宋体"/>
                <w:b/>
                <w:sz w:val="18"/>
                <w:szCs w:val="18"/>
              </w:rPr>
            </w:pPr>
          </w:p>
          <w:p w14:paraId="00B82E22">
            <w:pPr>
              <w:spacing w:line="360" w:lineRule="exact"/>
              <w:jc w:val="center"/>
              <w:rPr>
                <w:rFonts w:hint="eastAsia" w:ascii="宋体" w:hAnsi="宋体" w:eastAsia="宋体" w:cs="宋体"/>
                <w:b/>
                <w:sz w:val="18"/>
                <w:szCs w:val="18"/>
              </w:rPr>
            </w:pPr>
          </w:p>
          <w:p w14:paraId="34CE8A85">
            <w:pPr>
              <w:spacing w:line="360" w:lineRule="exact"/>
              <w:jc w:val="center"/>
              <w:rPr>
                <w:rFonts w:hint="eastAsia" w:ascii="宋体" w:hAnsi="宋体" w:eastAsia="宋体" w:cs="宋体"/>
                <w:b/>
                <w:sz w:val="18"/>
                <w:szCs w:val="18"/>
              </w:rPr>
            </w:pPr>
          </w:p>
          <w:p w14:paraId="72A4E4AF">
            <w:pPr>
              <w:spacing w:line="360" w:lineRule="exact"/>
              <w:jc w:val="center"/>
              <w:rPr>
                <w:rFonts w:hint="eastAsia" w:ascii="宋体" w:hAnsi="宋体" w:eastAsia="宋体" w:cs="宋体"/>
                <w:b/>
                <w:sz w:val="18"/>
                <w:szCs w:val="18"/>
              </w:rPr>
            </w:pPr>
          </w:p>
          <w:p w14:paraId="3AE60725">
            <w:pPr>
              <w:spacing w:line="360" w:lineRule="exact"/>
              <w:jc w:val="center"/>
              <w:rPr>
                <w:rFonts w:hint="eastAsia" w:ascii="宋体" w:hAnsi="宋体" w:eastAsia="宋体" w:cs="宋体"/>
                <w:b/>
                <w:sz w:val="18"/>
                <w:szCs w:val="18"/>
              </w:rPr>
            </w:pPr>
          </w:p>
          <w:p w14:paraId="25ACF886">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方向选修课程</w:t>
            </w:r>
          </w:p>
          <w:p w14:paraId="77C6FD99">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≥14学分</w:t>
            </w:r>
          </w:p>
        </w:tc>
        <w:tc>
          <w:tcPr>
            <w:tcW w:w="1092" w:type="dxa"/>
            <w:vAlign w:val="center"/>
          </w:tcPr>
          <w:p w14:paraId="27FBDD61">
            <w:pPr>
              <w:jc w:val="center"/>
              <w:rPr>
                <w:rFonts w:hint="eastAsia" w:ascii="宋体" w:hAnsi="宋体" w:eastAsia="宋体" w:cs="宋体"/>
                <w:sz w:val="18"/>
                <w:szCs w:val="18"/>
              </w:rPr>
            </w:pPr>
            <w:r>
              <w:rPr>
                <w:rFonts w:hint="eastAsia" w:ascii="宋体" w:hAnsi="宋体" w:eastAsia="宋体" w:cs="宋体"/>
                <w:sz w:val="18"/>
                <w:szCs w:val="18"/>
              </w:rPr>
              <w:t>130162</w:t>
            </w:r>
          </w:p>
        </w:tc>
        <w:tc>
          <w:tcPr>
            <w:tcW w:w="4443" w:type="dxa"/>
            <w:gridSpan w:val="5"/>
            <w:vAlign w:val="center"/>
          </w:tcPr>
          <w:p w14:paraId="0468A364">
            <w:pPr>
              <w:jc w:val="left"/>
              <w:rPr>
                <w:rFonts w:hint="eastAsia" w:ascii="宋体" w:hAnsi="宋体" w:eastAsia="宋体" w:cs="宋体"/>
                <w:sz w:val="18"/>
                <w:szCs w:val="18"/>
              </w:rPr>
            </w:pPr>
            <w:r>
              <w:rPr>
                <w:rFonts w:hint="eastAsia" w:ascii="宋体" w:hAnsi="宋体" w:eastAsia="宋体" w:cs="宋体"/>
                <w:sz w:val="18"/>
                <w:szCs w:val="18"/>
              </w:rPr>
              <w:t>汉语语言要素教学</w:t>
            </w:r>
          </w:p>
          <w:p w14:paraId="3D50DBF1">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of Chinese language Elements </w:t>
            </w:r>
          </w:p>
        </w:tc>
        <w:tc>
          <w:tcPr>
            <w:tcW w:w="558" w:type="dxa"/>
            <w:vAlign w:val="center"/>
          </w:tcPr>
          <w:p w14:paraId="62127142">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788FE077">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restart"/>
            <w:vAlign w:val="center"/>
          </w:tcPr>
          <w:p w14:paraId="42A34039">
            <w:pPr>
              <w:jc w:val="left"/>
              <w:rPr>
                <w:rFonts w:hint="eastAsia" w:ascii="宋体" w:hAnsi="宋体" w:eastAsia="宋体" w:cs="宋体"/>
                <w:sz w:val="18"/>
                <w:szCs w:val="18"/>
              </w:rPr>
            </w:pPr>
          </w:p>
          <w:p w14:paraId="0BE3A274">
            <w:pPr>
              <w:pStyle w:val="5"/>
              <w:spacing w:line="240" w:lineRule="auto"/>
              <w:ind w:firstLine="0"/>
              <w:jc w:val="center"/>
              <w:rPr>
                <w:rFonts w:hint="eastAsia" w:ascii="宋体" w:hAnsi="宋体" w:cs="宋体"/>
                <w:sz w:val="18"/>
                <w:szCs w:val="18"/>
              </w:rPr>
            </w:pPr>
          </w:p>
          <w:p w14:paraId="36DBE427">
            <w:pPr>
              <w:pStyle w:val="5"/>
              <w:spacing w:line="240" w:lineRule="auto"/>
              <w:ind w:firstLine="0"/>
              <w:jc w:val="center"/>
              <w:rPr>
                <w:rFonts w:hint="eastAsia" w:ascii="宋体" w:hAnsi="宋体" w:cs="宋体"/>
                <w:sz w:val="18"/>
                <w:szCs w:val="18"/>
              </w:rPr>
            </w:pPr>
          </w:p>
          <w:p w14:paraId="2CCC85DC">
            <w:pPr>
              <w:pStyle w:val="5"/>
              <w:spacing w:line="240" w:lineRule="auto"/>
              <w:ind w:firstLine="0"/>
              <w:jc w:val="center"/>
              <w:rPr>
                <w:rFonts w:hint="eastAsia" w:ascii="宋体" w:hAnsi="宋体" w:cs="宋体"/>
                <w:sz w:val="18"/>
                <w:szCs w:val="18"/>
              </w:rPr>
            </w:pPr>
          </w:p>
          <w:p w14:paraId="3D380CA8">
            <w:pPr>
              <w:pStyle w:val="5"/>
              <w:spacing w:line="240" w:lineRule="auto"/>
              <w:ind w:firstLine="0"/>
              <w:jc w:val="center"/>
              <w:rPr>
                <w:rFonts w:hint="eastAsia" w:ascii="宋体" w:hAnsi="宋体" w:cs="宋体"/>
                <w:sz w:val="18"/>
                <w:szCs w:val="18"/>
              </w:rPr>
            </w:pPr>
          </w:p>
          <w:p w14:paraId="2A4A6AAA">
            <w:pPr>
              <w:pStyle w:val="5"/>
              <w:spacing w:line="240" w:lineRule="auto"/>
              <w:ind w:firstLine="0"/>
              <w:jc w:val="center"/>
              <w:rPr>
                <w:rFonts w:hint="eastAsia" w:ascii="宋体" w:hAnsi="宋体" w:cs="宋体"/>
                <w:sz w:val="18"/>
                <w:szCs w:val="18"/>
              </w:rPr>
            </w:pPr>
            <w:r>
              <w:rPr>
                <w:rFonts w:hint="eastAsia" w:ascii="宋体" w:hAnsi="宋体" w:cs="宋体"/>
                <w:sz w:val="18"/>
                <w:szCs w:val="18"/>
              </w:rPr>
              <w:t>选修</w:t>
            </w:r>
          </w:p>
          <w:p w14:paraId="03EAC93D">
            <w:pPr>
              <w:pStyle w:val="5"/>
              <w:spacing w:line="240" w:lineRule="auto"/>
              <w:jc w:val="center"/>
              <w:rPr>
                <w:rFonts w:hint="eastAsia" w:ascii="宋体" w:hAnsi="宋体" w:cs="宋体"/>
                <w:sz w:val="18"/>
                <w:szCs w:val="18"/>
              </w:rPr>
            </w:pPr>
          </w:p>
        </w:tc>
      </w:tr>
      <w:tr w14:paraId="68883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20" w:type="dxa"/>
            <w:gridSpan w:val="3"/>
            <w:vMerge w:val="continue"/>
            <w:vAlign w:val="center"/>
          </w:tcPr>
          <w:p w14:paraId="0FACF70C">
            <w:pPr>
              <w:spacing w:line="360" w:lineRule="exact"/>
              <w:jc w:val="center"/>
              <w:rPr>
                <w:rFonts w:hint="eastAsia" w:ascii="宋体" w:hAnsi="宋体" w:eastAsia="宋体" w:cs="宋体"/>
                <w:sz w:val="18"/>
                <w:szCs w:val="18"/>
              </w:rPr>
            </w:pPr>
          </w:p>
        </w:tc>
        <w:tc>
          <w:tcPr>
            <w:tcW w:w="1092" w:type="dxa"/>
            <w:vAlign w:val="center"/>
          </w:tcPr>
          <w:p w14:paraId="798E3E21">
            <w:pPr>
              <w:jc w:val="center"/>
              <w:rPr>
                <w:rFonts w:hint="eastAsia" w:ascii="宋体" w:hAnsi="宋体" w:eastAsia="宋体" w:cs="宋体"/>
                <w:sz w:val="18"/>
                <w:szCs w:val="18"/>
              </w:rPr>
            </w:pPr>
            <w:r>
              <w:rPr>
                <w:rFonts w:hint="eastAsia" w:ascii="宋体" w:hAnsi="宋体" w:eastAsia="宋体" w:cs="宋体"/>
                <w:sz w:val="18"/>
                <w:szCs w:val="18"/>
              </w:rPr>
              <w:t>130163</w:t>
            </w:r>
          </w:p>
        </w:tc>
        <w:tc>
          <w:tcPr>
            <w:tcW w:w="4443" w:type="dxa"/>
            <w:gridSpan w:val="5"/>
            <w:vAlign w:val="center"/>
          </w:tcPr>
          <w:p w14:paraId="60F26FB9">
            <w:pPr>
              <w:jc w:val="left"/>
              <w:rPr>
                <w:rFonts w:hint="eastAsia" w:ascii="宋体" w:hAnsi="宋体" w:eastAsia="宋体" w:cs="宋体"/>
                <w:sz w:val="18"/>
                <w:szCs w:val="18"/>
              </w:rPr>
            </w:pPr>
            <w:r>
              <w:rPr>
                <w:rFonts w:hint="eastAsia" w:ascii="宋体" w:hAnsi="宋体" w:eastAsia="宋体" w:cs="宋体"/>
                <w:sz w:val="18"/>
                <w:szCs w:val="18"/>
              </w:rPr>
              <w:t>汉外语言对比(双语课）</w:t>
            </w:r>
          </w:p>
          <w:p w14:paraId="4FB4F03C">
            <w:pPr>
              <w:jc w:val="left"/>
              <w:rPr>
                <w:rFonts w:hint="eastAsia" w:ascii="宋体" w:hAnsi="宋体" w:eastAsia="宋体" w:cs="宋体"/>
                <w:sz w:val="18"/>
                <w:szCs w:val="18"/>
              </w:rPr>
            </w:pPr>
            <w:r>
              <w:rPr>
                <w:rFonts w:hint="eastAsia" w:ascii="Times New Roman" w:hAnsi="Times New Roman" w:eastAsia="宋体" w:cs="Times New Roman"/>
                <w:sz w:val="18"/>
                <w:szCs w:val="18"/>
              </w:rPr>
              <w:t>Contrast Between Chinese and Foreign Languages（Bilingual Classes）</w:t>
            </w:r>
          </w:p>
        </w:tc>
        <w:tc>
          <w:tcPr>
            <w:tcW w:w="558" w:type="dxa"/>
            <w:vAlign w:val="center"/>
          </w:tcPr>
          <w:p w14:paraId="6B711A71">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6D10496C">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24DDB57D">
            <w:pPr>
              <w:pStyle w:val="5"/>
              <w:spacing w:line="240" w:lineRule="auto"/>
              <w:jc w:val="center"/>
              <w:rPr>
                <w:rFonts w:hint="eastAsia" w:ascii="宋体" w:hAnsi="宋体" w:cs="宋体"/>
                <w:sz w:val="18"/>
                <w:szCs w:val="18"/>
              </w:rPr>
            </w:pPr>
          </w:p>
        </w:tc>
      </w:tr>
      <w:tr w14:paraId="64B4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2020" w:type="dxa"/>
            <w:gridSpan w:val="3"/>
            <w:vMerge w:val="continue"/>
            <w:vAlign w:val="center"/>
          </w:tcPr>
          <w:p w14:paraId="4D8A9327">
            <w:pPr>
              <w:spacing w:line="360" w:lineRule="exact"/>
              <w:jc w:val="center"/>
              <w:rPr>
                <w:rFonts w:hint="eastAsia" w:ascii="宋体" w:hAnsi="宋体" w:eastAsia="宋体" w:cs="宋体"/>
                <w:sz w:val="18"/>
                <w:szCs w:val="18"/>
              </w:rPr>
            </w:pPr>
          </w:p>
        </w:tc>
        <w:tc>
          <w:tcPr>
            <w:tcW w:w="1092" w:type="dxa"/>
            <w:vAlign w:val="center"/>
          </w:tcPr>
          <w:p w14:paraId="583C0E84">
            <w:pPr>
              <w:jc w:val="center"/>
              <w:rPr>
                <w:rFonts w:hint="eastAsia" w:ascii="宋体" w:hAnsi="宋体" w:eastAsia="宋体" w:cs="宋体"/>
                <w:sz w:val="18"/>
                <w:szCs w:val="18"/>
              </w:rPr>
            </w:pPr>
            <w:r>
              <w:rPr>
                <w:rFonts w:hint="eastAsia" w:ascii="宋体" w:hAnsi="宋体" w:eastAsia="宋体" w:cs="宋体"/>
                <w:sz w:val="18"/>
                <w:szCs w:val="18"/>
              </w:rPr>
              <w:t>130164</w:t>
            </w:r>
          </w:p>
        </w:tc>
        <w:tc>
          <w:tcPr>
            <w:tcW w:w="4443" w:type="dxa"/>
            <w:gridSpan w:val="5"/>
            <w:vAlign w:val="center"/>
          </w:tcPr>
          <w:p w14:paraId="1305C582">
            <w:pPr>
              <w:jc w:val="left"/>
              <w:rPr>
                <w:rFonts w:hint="eastAsia" w:ascii="宋体" w:hAnsi="宋体" w:eastAsia="宋体" w:cs="宋体"/>
                <w:sz w:val="18"/>
                <w:szCs w:val="18"/>
              </w:rPr>
            </w:pPr>
            <w:r>
              <w:rPr>
                <w:rFonts w:hint="eastAsia" w:ascii="宋体" w:hAnsi="宋体" w:eastAsia="宋体" w:cs="宋体"/>
                <w:sz w:val="18"/>
                <w:szCs w:val="18"/>
              </w:rPr>
              <w:t>教学资源与现代语言教育技术</w:t>
            </w:r>
          </w:p>
          <w:p w14:paraId="5F76C0C0">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Resources and Modern Language Education Technology</w:t>
            </w:r>
          </w:p>
        </w:tc>
        <w:tc>
          <w:tcPr>
            <w:tcW w:w="558" w:type="dxa"/>
            <w:vAlign w:val="center"/>
          </w:tcPr>
          <w:p w14:paraId="69CD6C40">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08BEBFAD">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18CBFCF5">
            <w:pPr>
              <w:pStyle w:val="5"/>
              <w:spacing w:line="240" w:lineRule="auto"/>
              <w:jc w:val="center"/>
              <w:rPr>
                <w:rFonts w:hint="eastAsia" w:ascii="宋体" w:hAnsi="宋体" w:cs="宋体"/>
                <w:sz w:val="18"/>
                <w:szCs w:val="18"/>
              </w:rPr>
            </w:pPr>
          </w:p>
        </w:tc>
      </w:tr>
      <w:tr w14:paraId="218B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020" w:type="dxa"/>
            <w:gridSpan w:val="3"/>
            <w:vMerge w:val="continue"/>
            <w:vAlign w:val="center"/>
          </w:tcPr>
          <w:p w14:paraId="69034755">
            <w:pPr>
              <w:spacing w:line="360" w:lineRule="exact"/>
              <w:jc w:val="center"/>
              <w:rPr>
                <w:rFonts w:hint="eastAsia" w:ascii="宋体" w:hAnsi="宋体" w:eastAsia="宋体" w:cs="宋体"/>
                <w:sz w:val="18"/>
                <w:szCs w:val="18"/>
              </w:rPr>
            </w:pPr>
          </w:p>
        </w:tc>
        <w:tc>
          <w:tcPr>
            <w:tcW w:w="1092" w:type="dxa"/>
            <w:vAlign w:val="center"/>
          </w:tcPr>
          <w:p w14:paraId="3DD482FD">
            <w:pPr>
              <w:jc w:val="center"/>
              <w:rPr>
                <w:rFonts w:hint="eastAsia" w:ascii="宋体" w:hAnsi="宋体" w:eastAsia="宋体" w:cs="宋体"/>
                <w:sz w:val="18"/>
                <w:szCs w:val="18"/>
              </w:rPr>
            </w:pPr>
            <w:r>
              <w:rPr>
                <w:rFonts w:hint="eastAsia" w:ascii="宋体" w:hAnsi="宋体" w:eastAsia="宋体" w:cs="宋体"/>
                <w:sz w:val="18"/>
                <w:szCs w:val="18"/>
              </w:rPr>
              <w:t>130165</w:t>
            </w:r>
          </w:p>
        </w:tc>
        <w:tc>
          <w:tcPr>
            <w:tcW w:w="4443" w:type="dxa"/>
            <w:gridSpan w:val="5"/>
            <w:vAlign w:val="center"/>
          </w:tcPr>
          <w:p w14:paraId="1CB1E819">
            <w:pPr>
              <w:jc w:val="left"/>
              <w:rPr>
                <w:rFonts w:hint="eastAsia" w:ascii="宋体" w:hAnsi="宋体" w:eastAsia="宋体" w:cs="宋体"/>
                <w:sz w:val="18"/>
                <w:szCs w:val="18"/>
              </w:rPr>
            </w:pPr>
            <w:r>
              <w:rPr>
                <w:rFonts w:hint="eastAsia" w:ascii="宋体" w:hAnsi="宋体" w:eastAsia="宋体" w:cs="宋体"/>
                <w:sz w:val="18"/>
                <w:szCs w:val="18"/>
              </w:rPr>
              <w:t>教学技能拓展与实践</w:t>
            </w:r>
          </w:p>
          <w:p w14:paraId="7021C5CB">
            <w:pPr>
              <w:jc w:val="left"/>
              <w:rPr>
                <w:rFonts w:hint="eastAsia" w:ascii="宋体" w:hAnsi="宋体" w:eastAsia="宋体" w:cs="宋体"/>
                <w:sz w:val="18"/>
                <w:szCs w:val="18"/>
              </w:rPr>
            </w:pPr>
            <w:r>
              <w:rPr>
                <w:rFonts w:hint="eastAsia" w:ascii="Times New Roman" w:hAnsi="Times New Roman" w:eastAsia="宋体" w:cs="Times New Roman"/>
                <w:sz w:val="18"/>
                <w:szCs w:val="18"/>
              </w:rPr>
              <w:t>Expansion and Practice of Teaching Skills</w:t>
            </w:r>
          </w:p>
        </w:tc>
        <w:tc>
          <w:tcPr>
            <w:tcW w:w="558" w:type="dxa"/>
            <w:vAlign w:val="center"/>
          </w:tcPr>
          <w:p w14:paraId="5AADFE39">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5FFEA5C0">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vAlign w:val="center"/>
          </w:tcPr>
          <w:p w14:paraId="472996CF">
            <w:pPr>
              <w:pStyle w:val="5"/>
              <w:spacing w:line="240" w:lineRule="auto"/>
              <w:jc w:val="center"/>
              <w:rPr>
                <w:rFonts w:hint="eastAsia" w:ascii="宋体" w:hAnsi="宋体" w:cs="宋体"/>
                <w:sz w:val="18"/>
                <w:szCs w:val="18"/>
              </w:rPr>
            </w:pPr>
          </w:p>
        </w:tc>
      </w:tr>
      <w:tr w14:paraId="4AAA2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79B3E35B">
            <w:pPr>
              <w:spacing w:line="360" w:lineRule="exact"/>
              <w:jc w:val="center"/>
              <w:rPr>
                <w:rFonts w:hint="eastAsia" w:ascii="宋体" w:hAnsi="宋体" w:eastAsia="宋体" w:cs="宋体"/>
                <w:sz w:val="18"/>
                <w:szCs w:val="18"/>
              </w:rPr>
            </w:pPr>
          </w:p>
        </w:tc>
        <w:tc>
          <w:tcPr>
            <w:tcW w:w="1092" w:type="dxa"/>
            <w:vAlign w:val="center"/>
          </w:tcPr>
          <w:p w14:paraId="05260762">
            <w:pPr>
              <w:jc w:val="center"/>
              <w:rPr>
                <w:rFonts w:hint="eastAsia" w:ascii="宋体" w:hAnsi="宋体" w:eastAsia="宋体" w:cs="宋体"/>
                <w:sz w:val="18"/>
                <w:szCs w:val="18"/>
              </w:rPr>
            </w:pPr>
            <w:r>
              <w:rPr>
                <w:rFonts w:hint="eastAsia" w:ascii="宋体" w:hAnsi="宋体" w:eastAsia="宋体" w:cs="宋体"/>
                <w:sz w:val="18"/>
                <w:szCs w:val="18"/>
              </w:rPr>
              <w:t>130166</w:t>
            </w:r>
          </w:p>
        </w:tc>
        <w:tc>
          <w:tcPr>
            <w:tcW w:w="4443" w:type="dxa"/>
            <w:gridSpan w:val="5"/>
            <w:vAlign w:val="center"/>
          </w:tcPr>
          <w:p w14:paraId="1EF5EEAE">
            <w:pPr>
              <w:jc w:val="left"/>
              <w:rPr>
                <w:rFonts w:hint="eastAsia" w:ascii="宋体" w:hAnsi="宋体" w:eastAsia="宋体" w:cs="宋体"/>
                <w:sz w:val="18"/>
                <w:szCs w:val="18"/>
              </w:rPr>
            </w:pPr>
            <w:r>
              <w:rPr>
                <w:rFonts w:hint="eastAsia" w:ascii="宋体" w:hAnsi="宋体" w:eastAsia="宋体" w:cs="宋体"/>
                <w:sz w:val="18"/>
                <w:szCs w:val="18"/>
              </w:rPr>
              <w:t>礼仪与国际关系</w:t>
            </w:r>
          </w:p>
          <w:p w14:paraId="5BD245E7">
            <w:pPr>
              <w:jc w:val="left"/>
              <w:rPr>
                <w:rFonts w:hint="eastAsia" w:ascii="宋体" w:hAnsi="宋体" w:eastAsia="宋体" w:cs="宋体"/>
                <w:sz w:val="18"/>
                <w:szCs w:val="18"/>
              </w:rPr>
            </w:pPr>
            <w:r>
              <w:rPr>
                <w:rFonts w:hint="eastAsia" w:ascii="Times New Roman" w:hAnsi="Times New Roman" w:eastAsia="宋体" w:cs="Times New Roman"/>
                <w:sz w:val="18"/>
                <w:szCs w:val="18"/>
              </w:rPr>
              <w:t>Etiquette and International Relations</w:t>
            </w:r>
          </w:p>
        </w:tc>
        <w:tc>
          <w:tcPr>
            <w:tcW w:w="558" w:type="dxa"/>
            <w:vAlign w:val="center"/>
          </w:tcPr>
          <w:p w14:paraId="2CD08DB4">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57D9039D">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3B6C73FA">
            <w:pPr>
              <w:pStyle w:val="5"/>
              <w:spacing w:line="240" w:lineRule="auto"/>
              <w:jc w:val="center"/>
              <w:rPr>
                <w:rFonts w:hint="eastAsia" w:ascii="宋体" w:hAnsi="宋体" w:cs="宋体"/>
                <w:b/>
                <w:sz w:val="18"/>
                <w:szCs w:val="18"/>
              </w:rPr>
            </w:pPr>
          </w:p>
        </w:tc>
      </w:tr>
      <w:tr w14:paraId="3F3C5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7C51896E">
            <w:pPr>
              <w:spacing w:line="360" w:lineRule="exact"/>
              <w:jc w:val="center"/>
              <w:rPr>
                <w:rFonts w:hint="eastAsia" w:ascii="宋体" w:hAnsi="宋体" w:eastAsia="宋体" w:cs="宋体"/>
                <w:sz w:val="18"/>
                <w:szCs w:val="18"/>
              </w:rPr>
            </w:pPr>
          </w:p>
        </w:tc>
        <w:tc>
          <w:tcPr>
            <w:tcW w:w="1092" w:type="dxa"/>
            <w:vAlign w:val="center"/>
          </w:tcPr>
          <w:p w14:paraId="5F12486E">
            <w:pPr>
              <w:jc w:val="center"/>
              <w:rPr>
                <w:rFonts w:hint="eastAsia" w:ascii="宋体" w:hAnsi="宋体" w:eastAsia="宋体" w:cs="宋体"/>
                <w:sz w:val="18"/>
                <w:szCs w:val="18"/>
              </w:rPr>
            </w:pPr>
            <w:r>
              <w:rPr>
                <w:rFonts w:hint="eastAsia" w:ascii="宋体" w:hAnsi="宋体" w:eastAsia="宋体" w:cs="宋体"/>
                <w:sz w:val="18"/>
                <w:szCs w:val="18"/>
              </w:rPr>
              <w:t>130167</w:t>
            </w:r>
          </w:p>
        </w:tc>
        <w:tc>
          <w:tcPr>
            <w:tcW w:w="4443" w:type="dxa"/>
            <w:gridSpan w:val="5"/>
            <w:vAlign w:val="center"/>
          </w:tcPr>
          <w:p w14:paraId="5B718D62">
            <w:pPr>
              <w:jc w:val="left"/>
              <w:rPr>
                <w:rFonts w:hint="eastAsia" w:ascii="宋体" w:hAnsi="宋体" w:eastAsia="宋体" w:cs="宋体"/>
                <w:sz w:val="18"/>
                <w:szCs w:val="18"/>
              </w:rPr>
            </w:pPr>
            <w:r>
              <w:rPr>
                <w:rFonts w:hint="eastAsia" w:ascii="宋体" w:hAnsi="宋体" w:eastAsia="宋体" w:cs="宋体"/>
                <w:sz w:val="18"/>
                <w:szCs w:val="18"/>
              </w:rPr>
              <w:t>国别与地域文化</w:t>
            </w:r>
          </w:p>
          <w:p w14:paraId="2E49D83F">
            <w:pPr>
              <w:jc w:val="left"/>
              <w:rPr>
                <w:rFonts w:hint="eastAsia" w:ascii="宋体" w:hAnsi="宋体" w:eastAsia="宋体" w:cs="宋体"/>
                <w:sz w:val="18"/>
                <w:szCs w:val="18"/>
              </w:rPr>
            </w:pPr>
            <w:r>
              <w:rPr>
                <w:rFonts w:hint="eastAsia" w:ascii="Times New Roman" w:hAnsi="Times New Roman" w:eastAsia="宋体" w:cs="Times New Roman"/>
                <w:sz w:val="18"/>
                <w:szCs w:val="18"/>
              </w:rPr>
              <w:t>National and Regional Cultures</w:t>
            </w:r>
          </w:p>
        </w:tc>
        <w:tc>
          <w:tcPr>
            <w:tcW w:w="558" w:type="dxa"/>
            <w:vAlign w:val="center"/>
          </w:tcPr>
          <w:p w14:paraId="61F9B516">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43A502C8">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2C687AD0">
            <w:pPr>
              <w:pStyle w:val="5"/>
              <w:spacing w:line="240" w:lineRule="auto"/>
              <w:jc w:val="center"/>
              <w:rPr>
                <w:rFonts w:hint="eastAsia" w:ascii="宋体" w:hAnsi="宋体" w:cs="宋体"/>
                <w:b/>
                <w:sz w:val="18"/>
                <w:szCs w:val="18"/>
              </w:rPr>
            </w:pPr>
          </w:p>
        </w:tc>
      </w:tr>
      <w:tr w14:paraId="11AA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087C0165">
            <w:pPr>
              <w:spacing w:line="360" w:lineRule="exact"/>
              <w:jc w:val="center"/>
              <w:rPr>
                <w:rFonts w:hint="eastAsia" w:ascii="宋体" w:hAnsi="宋体" w:eastAsia="宋体" w:cs="宋体"/>
                <w:sz w:val="18"/>
                <w:szCs w:val="18"/>
              </w:rPr>
            </w:pPr>
          </w:p>
        </w:tc>
        <w:tc>
          <w:tcPr>
            <w:tcW w:w="1092" w:type="dxa"/>
            <w:vAlign w:val="center"/>
          </w:tcPr>
          <w:p w14:paraId="184E423B">
            <w:pPr>
              <w:jc w:val="center"/>
              <w:rPr>
                <w:rFonts w:hint="eastAsia" w:ascii="宋体" w:hAnsi="宋体" w:eastAsia="宋体" w:cs="宋体"/>
                <w:sz w:val="18"/>
                <w:szCs w:val="18"/>
              </w:rPr>
            </w:pPr>
            <w:r>
              <w:rPr>
                <w:rFonts w:hint="eastAsia" w:ascii="宋体" w:hAnsi="宋体" w:eastAsia="宋体" w:cs="宋体"/>
                <w:sz w:val="18"/>
                <w:szCs w:val="18"/>
              </w:rPr>
              <w:t>130168</w:t>
            </w:r>
          </w:p>
        </w:tc>
        <w:tc>
          <w:tcPr>
            <w:tcW w:w="4443" w:type="dxa"/>
            <w:gridSpan w:val="5"/>
            <w:vAlign w:val="center"/>
          </w:tcPr>
          <w:p w14:paraId="0D4F904D">
            <w:pPr>
              <w:jc w:val="left"/>
              <w:rPr>
                <w:rFonts w:hint="eastAsia" w:ascii="宋体" w:hAnsi="宋体" w:eastAsia="宋体" w:cs="宋体"/>
                <w:sz w:val="18"/>
                <w:szCs w:val="18"/>
              </w:rPr>
            </w:pPr>
            <w:r>
              <w:rPr>
                <w:rFonts w:hint="eastAsia" w:ascii="宋体" w:hAnsi="宋体" w:eastAsia="宋体" w:cs="宋体"/>
                <w:sz w:val="18"/>
                <w:szCs w:val="18"/>
              </w:rPr>
              <w:t xml:space="preserve">中国思想史  </w:t>
            </w:r>
          </w:p>
          <w:p w14:paraId="405F9CA9">
            <w:pPr>
              <w:jc w:val="left"/>
              <w:rPr>
                <w:rFonts w:hint="eastAsia" w:ascii="宋体" w:hAnsi="宋体" w:eastAsia="宋体" w:cs="宋体"/>
                <w:sz w:val="18"/>
                <w:szCs w:val="18"/>
              </w:rPr>
            </w:pPr>
            <w:r>
              <w:rPr>
                <w:rFonts w:hint="eastAsia" w:ascii="Times New Roman" w:hAnsi="Times New Roman" w:eastAsia="宋体" w:cs="Times New Roman"/>
                <w:sz w:val="18"/>
                <w:szCs w:val="18"/>
              </w:rPr>
              <w:t>History of Chinese Thought</w:t>
            </w:r>
          </w:p>
        </w:tc>
        <w:tc>
          <w:tcPr>
            <w:tcW w:w="558" w:type="dxa"/>
            <w:vAlign w:val="center"/>
          </w:tcPr>
          <w:p w14:paraId="2F09CC33">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25EB7AF9">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55D97002">
            <w:pPr>
              <w:pStyle w:val="5"/>
              <w:spacing w:line="240" w:lineRule="auto"/>
              <w:jc w:val="center"/>
              <w:rPr>
                <w:rFonts w:hint="eastAsia" w:ascii="宋体" w:hAnsi="宋体" w:cs="宋体"/>
                <w:b/>
                <w:sz w:val="18"/>
                <w:szCs w:val="18"/>
              </w:rPr>
            </w:pPr>
          </w:p>
        </w:tc>
      </w:tr>
      <w:tr w14:paraId="2CD89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61F36A7A">
            <w:pPr>
              <w:spacing w:line="360" w:lineRule="exact"/>
              <w:jc w:val="center"/>
              <w:rPr>
                <w:rFonts w:hint="eastAsia" w:ascii="宋体" w:hAnsi="宋体" w:eastAsia="宋体" w:cs="宋体"/>
                <w:sz w:val="18"/>
                <w:szCs w:val="18"/>
              </w:rPr>
            </w:pPr>
          </w:p>
        </w:tc>
        <w:tc>
          <w:tcPr>
            <w:tcW w:w="1092" w:type="dxa"/>
            <w:vAlign w:val="center"/>
          </w:tcPr>
          <w:p w14:paraId="5248A7D4">
            <w:pPr>
              <w:jc w:val="center"/>
              <w:rPr>
                <w:rFonts w:hint="eastAsia" w:ascii="宋体" w:hAnsi="宋体" w:eastAsia="宋体" w:cs="宋体"/>
                <w:sz w:val="18"/>
                <w:szCs w:val="18"/>
              </w:rPr>
            </w:pPr>
            <w:r>
              <w:rPr>
                <w:rFonts w:hint="eastAsia" w:ascii="宋体" w:hAnsi="宋体" w:eastAsia="宋体" w:cs="宋体"/>
                <w:sz w:val="18"/>
                <w:szCs w:val="18"/>
              </w:rPr>
              <w:t>130169</w:t>
            </w:r>
          </w:p>
        </w:tc>
        <w:tc>
          <w:tcPr>
            <w:tcW w:w="4443" w:type="dxa"/>
            <w:gridSpan w:val="5"/>
            <w:vAlign w:val="center"/>
          </w:tcPr>
          <w:p w14:paraId="485B643B">
            <w:pPr>
              <w:jc w:val="left"/>
              <w:rPr>
                <w:rFonts w:hint="eastAsia" w:ascii="宋体" w:hAnsi="宋体" w:eastAsia="宋体" w:cs="宋体"/>
                <w:sz w:val="18"/>
                <w:szCs w:val="18"/>
              </w:rPr>
            </w:pPr>
            <w:r>
              <w:rPr>
                <w:rFonts w:hint="eastAsia" w:ascii="宋体" w:hAnsi="宋体" w:eastAsia="宋体" w:cs="宋体"/>
                <w:sz w:val="18"/>
                <w:szCs w:val="18"/>
              </w:rPr>
              <w:t>中外文化交流专题</w:t>
            </w:r>
          </w:p>
          <w:p w14:paraId="7520FAB4">
            <w:pPr>
              <w:jc w:val="left"/>
              <w:rPr>
                <w:rFonts w:hint="eastAsia" w:ascii="宋体" w:hAnsi="宋体" w:eastAsia="宋体" w:cs="宋体"/>
                <w:sz w:val="18"/>
                <w:szCs w:val="18"/>
              </w:rPr>
            </w:pPr>
            <w:r>
              <w:rPr>
                <w:rFonts w:hint="eastAsia" w:ascii="Times New Roman" w:hAnsi="Times New Roman" w:eastAsia="宋体" w:cs="Times New Roman"/>
                <w:sz w:val="18"/>
                <w:szCs w:val="18"/>
              </w:rPr>
              <w:t>Monographic Study on Cultural Exchange Between China and Foreign Countries</w:t>
            </w:r>
          </w:p>
        </w:tc>
        <w:tc>
          <w:tcPr>
            <w:tcW w:w="558" w:type="dxa"/>
            <w:vAlign w:val="center"/>
          </w:tcPr>
          <w:p w14:paraId="0D3ED257">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3E180C54">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3B9DB940">
            <w:pPr>
              <w:pStyle w:val="5"/>
              <w:spacing w:line="240" w:lineRule="auto"/>
              <w:jc w:val="center"/>
              <w:rPr>
                <w:rFonts w:hint="eastAsia" w:ascii="宋体" w:hAnsi="宋体" w:cs="宋体"/>
                <w:b/>
                <w:sz w:val="18"/>
                <w:szCs w:val="18"/>
              </w:rPr>
            </w:pPr>
          </w:p>
        </w:tc>
      </w:tr>
      <w:tr w14:paraId="1605C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0B5AB535">
            <w:pPr>
              <w:spacing w:line="360" w:lineRule="exact"/>
              <w:jc w:val="center"/>
              <w:rPr>
                <w:rFonts w:hint="eastAsia" w:ascii="宋体" w:hAnsi="宋体" w:eastAsia="宋体" w:cs="宋体"/>
                <w:sz w:val="18"/>
                <w:szCs w:val="18"/>
              </w:rPr>
            </w:pPr>
          </w:p>
        </w:tc>
        <w:tc>
          <w:tcPr>
            <w:tcW w:w="1092" w:type="dxa"/>
            <w:vAlign w:val="center"/>
          </w:tcPr>
          <w:p w14:paraId="31E66DAC">
            <w:pPr>
              <w:jc w:val="center"/>
              <w:rPr>
                <w:rFonts w:hint="eastAsia" w:ascii="宋体" w:hAnsi="宋体" w:eastAsia="宋体" w:cs="宋体"/>
                <w:sz w:val="18"/>
                <w:szCs w:val="18"/>
              </w:rPr>
            </w:pPr>
            <w:r>
              <w:rPr>
                <w:rFonts w:hint="eastAsia" w:ascii="宋体" w:hAnsi="宋体" w:eastAsia="宋体" w:cs="宋体"/>
                <w:sz w:val="18"/>
                <w:szCs w:val="18"/>
              </w:rPr>
              <w:t>130170</w:t>
            </w:r>
          </w:p>
        </w:tc>
        <w:tc>
          <w:tcPr>
            <w:tcW w:w="4443" w:type="dxa"/>
            <w:gridSpan w:val="5"/>
            <w:vAlign w:val="center"/>
          </w:tcPr>
          <w:p w14:paraId="700A3AE5">
            <w:pPr>
              <w:jc w:val="left"/>
              <w:rPr>
                <w:rFonts w:hint="eastAsia" w:ascii="宋体" w:hAnsi="宋体" w:eastAsia="宋体" w:cs="宋体"/>
                <w:sz w:val="18"/>
                <w:szCs w:val="18"/>
              </w:rPr>
            </w:pPr>
            <w:r>
              <w:rPr>
                <w:rFonts w:hint="eastAsia" w:ascii="宋体" w:hAnsi="宋体" w:eastAsia="宋体" w:cs="宋体"/>
                <w:sz w:val="18"/>
                <w:szCs w:val="18"/>
              </w:rPr>
              <w:t>教学设计与课堂管理</w:t>
            </w:r>
          </w:p>
          <w:p w14:paraId="5382541C">
            <w:pPr>
              <w:jc w:val="left"/>
              <w:rPr>
                <w:rFonts w:hint="eastAsia" w:ascii="宋体" w:hAnsi="宋体" w:eastAsia="宋体" w:cs="宋体"/>
                <w:sz w:val="18"/>
                <w:szCs w:val="18"/>
              </w:rPr>
            </w:pPr>
            <w:r>
              <w:rPr>
                <w:rFonts w:hint="eastAsia" w:ascii="Times New Roman" w:hAnsi="Times New Roman" w:eastAsia="宋体" w:cs="Times New Roman"/>
                <w:sz w:val="18"/>
                <w:szCs w:val="18"/>
              </w:rPr>
              <w:t>Teaching Design and Class Management</w:t>
            </w:r>
          </w:p>
        </w:tc>
        <w:tc>
          <w:tcPr>
            <w:tcW w:w="558" w:type="dxa"/>
            <w:vAlign w:val="center"/>
          </w:tcPr>
          <w:p w14:paraId="49E185D2">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6BD7A659">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4B159519">
            <w:pPr>
              <w:pStyle w:val="5"/>
              <w:spacing w:line="240" w:lineRule="auto"/>
              <w:jc w:val="center"/>
              <w:rPr>
                <w:rFonts w:hint="eastAsia" w:ascii="宋体" w:hAnsi="宋体" w:cs="宋体"/>
                <w:b/>
                <w:sz w:val="18"/>
                <w:szCs w:val="18"/>
              </w:rPr>
            </w:pPr>
          </w:p>
        </w:tc>
      </w:tr>
      <w:tr w14:paraId="3781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020" w:type="dxa"/>
            <w:gridSpan w:val="3"/>
            <w:vMerge w:val="continue"/>
          </w:tcPr>
          <w:p w14:paraId="76DC8BD5">
            <w:pPr>
              <w:spacing w:line="360" w:lineRule="exact"/>
              <w:jc w:val="center"/>
              <w:rPr>
                <w:rFonts w:hint="eastAsia" w:ascii="宋体" w:hAnsi="宋体" w:eastAsia="宋体" w:cs="宋体"/>
                <w:sz w:val="18"/>
                <w:szCs w:val="18"/>
              </w:rPr>
            </w:pPr>
          </w:p>
        </w:tc>
        <w:tc>
          <w:tcPr>
            <w:tcW w:w="1092" w:type="dxa"/>
            <w:vAlign w:val="center"/>
          </w:tcPr>
          <w:p w14:paraId="05ED5A67">
            <w:pPr>
              <w:jc w:val="center"/>
              <w:rPr>
                <w:rFonts w:hint="eastAsia" w:ascii="宋体" w:hAnsi="宋体" w:eastAsia="宋体" w:cs="宋体"/>
                <w:sz w:val="18"/>
                <w:szCs w:val="18"/>
              </w:rPr>
            </w:pPr>
            <w:r>
              <w:rPr>
                <w:rFonts w:hint="eastAsia" w:ascii="宋体" w:hAnsi="宋体" w:eastAsia="宋体" w:cs="宋体"/>
                <w:sz w:val="18"/>
                <w:szCs w:val="18"/>
              </w:rPr>
              <w:t>130171</w:t>
            </w:r>
          </w:p>
        </w:tc>
        <w:tc>
          <w:tcPr>
            <w:tcW w:w="4443" w:type="dxa"/>
            <w:gridSpan w:val="5"/>
            <w:vAlign w:val="center"/>
          </w:tcPr>
          <w:p w14:paraId="7DB1C3CE">
            <w:pPr>
              <w:jc w:val="left"/>
              <w:rPr>
                <w:rFonts w:hint="eastAsia" w:ascii="宋体" w:hAnsi="宋体" w:eastAsia="宋体" w:cs="宋体"/>
                <w:sz w:val="18"/>
                <w:szCs w:val="18"/>
              </w:rPr>
            </w:pPr>
            <w:bookmarkStart w:id="2" w:name="OLE_LINK3"/>
            <w:r>
              <w:rPr>
                <w:rFonts w:hint="eastAsia" w:ascii="宋体" w:hAnsi="宋体" w:eastAsia="宋体" w:cs="宋体"/>
                <w:sz w:val="18"/>
                <w:szCs w:val="18"/>
              </w:rPr>
              <w:t>国际中文教育推广专题</w:t>
            </w:r>
          </w:p>
          <w:bookmarkEnd w:id="2"/>
          <w:p w14:paraId="27B1C45A">
            <w:pPr>
              <w:jc w:val="left"/>
              <w:rPr>
                <w:rFonts w:hint="eastAsia" w:ascii="宋体" w:hAnsi="宋体" w:eastAsia="宋体" w:cs="宋体"/>
                <w:sz w:val="18"/>
                <w:szCs w:val="18"/>
              </w:rPr>
            </w:pPr>
            <w:r>
              <w:rPr>
                <w:rFonts w:ascii="Times New Roman" w:hAnsi="Times New Roman" w:eastAsia="宋体" w:cs="Times New Roman"/>
                <w:sz w:val="18"/>
                <w:szCs w:val="18"/>
              </w:rPr>
              <w:t>International Chinese Education Promotion Special Topic</w:t>
            </w:r>
          </w:p>
        </w:tc>
        <w:tc>
          <w:tcPr>
            <w:tcW w:w="558" w:type="dxa"/>
            <w:vAlign w:val="center"/>
          </w:tcPr>
          <w:p w14:paraId="69C676C0">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7DC69D94">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4798444E">
            <w:pPr>
              <w:pStyle w:val="5"/>
              <w:spacing w:line="240" w:lineRule="auto"/>
              <w:jc w:val="center"/>
              <w:rPr>
                <w:rFonts w:hint="eastAsia" w:ascii="宋体" w:hAnsi="宋体" w:cs="宋体"/>
                <w:b/>
                <w:sz w:val="18"/>
                <w:szCs w:val="18"/>
              </w:rPr>
            </w:pPr>
          </w:p>
        </w:tc>
      </w:tr>
      <w:tr w14:paraId="2253C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74ED4E00">
            <w:pPr>
              <w:spacing w:line="360" w:lineRule="exact"/>
              <w:jc w:val="center"/>
              <w:rPr>
                <w:rFonts w:hint="eastAsia" w:ascii="宋体" w:hAnsi="宋体" w:eastAsia="宋体" w:cs="宋体"/>
                <w:sz w:val="18"/>
                <w:szCs w:val="18"/>
              </w:rPr>
            </w:pPr>
          </w:p>
        </w:tc>
        <w:tc>
          <w:tcPr>
            <w:tcW w:w="1092" w:type="dxa"/>
            <w:vAlign w:val="center"/>
          </w:tcPr>
          <w:p w14:paraId="4ED63C6D">
            <w:pPr>
              <w:jc w:val="center"/>
              <w:rPr>
                <w:rFonts w:hint="eastAsia" w:ascii="宋体" w:hAnsi="宋体" w:eastAsia="宋体" w:cs="宋体"/>
                <w:sz w:val="18"/>
                <w:szCs w:val="18"/>
              </w:rPr>
            </w:pPr>
            <w:r>
              <w:rPr>
                <w:rFonts w:hint="eastAsia" w:ascii="宋体" w:hAnsi="宋体" w:eastAsia="宋体" w:cs="宋体"/>
                <w:sz w:val="18"/>
                <w:szCs w:val="18"/>
              </w:rPr>
              <w:t>130172</w:t>
            </w:r>
          </w:p>
        </w:tc>
        <w:tc>
          <w:tcPr>
            <w:tcW w:w="4443" w:type="dxa"/>
            <w:gridSpan w:val="5"/>
            <w:vAlign w:val="center"/>
          </w:tcPr>
          <w:p w14:paraId="0BD90721">
            <w:pPr>
              <w:jc w:val="left"/>
              <w:rPr>
                <w:rFonts w:hint="eastAsia" w:ascii="宋体" w:hAnsi="宋体" w:eastAsia="宋体" w:cs="宋体"/>
                <w:sz w:val="18"/>
                <w:szCs w:val="18"/>
              </w:rPr>
            </w:pPr>
            <w:r>
              <w:rPr>
                <w:rFonts w:hint="eastAsia" w:ascii="宋体" w:hAnsi="宋体" w:eastAsia="宋体" w:cs="宋体"/>
                <w:sz w:val="18"/>
                <w:szCs w:val="18"/>
              </w:rPr>
              <w:t>课堂观察与实践</w:t>
            </w:r>
          </w:p>
          <w:p w14:paraId="1FF33530">
            <w:pPr>
              <w:jc w:val="left"/>
              <w:rPr>
                <w:rFonts w:hint="eastAsia" w:ascii="宋体" w:hAnsi="宋体" w:eastAsia="宋体" w:cs="宋体"/>
                <w:sz w:val="18"/>
                <w:szCs w:val="18"/>
              </w:rPr>
            </w:pPr>
            <w:r>
              <w:rPr>
                <w:rFonts w:hint="eastAsia" w:ascii="Times New Roman" w:hAnsi="Times New Roman" w:eastAsia="宋体" w:cs="Times New Roman"/>
                <w:sz w:val="18"/>
                <w:szCs w:val="18"/>
              </w:rPr>
              <w:t>Class Observation and Practice</w:t>
            </w:r>
          </w:p>
        </w:tc>
        <w:tc>
          <w:tcPr>
            <w:tcW w:w="558" w:type="dxa"/>
            <w:vAlign w:val="center"/>
          </w:tcPr>
          <w:p w14:paraId="504C2EC1">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15AA846C">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49A6E2B3">
            <w:pPr>
              <w:pStyle w:val="5"/>
              <w:spacing w:line="240" w:lineRule="auto"/>
              <w:jc w:val="center"/>
              <w:rPr>
                <w:rFonts w:hint="eastAsia" w:ascii="宋体" w:hAnsi="宋体" w:cs="宋体"/>
                <w:b/>
                <w:sz w:val="18"/>
                <w:szCs w:val="18"/>
              </w:rPr>
            </w:pPr>
          </w:p>
        </w:tc>
      </w:tr>
      <w:tr w14:paraId="58A8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0223AE48">
            <w:pPr>
              <w:spacing w:line="360" w:lineRule="exact"/>
              <w:jc w:val="center"/>
              <w:rPr>
                <w:rFonts w:hint="eastAsia" w:ascii="宋体" w:hAnsi="宋体" w:eastAsia="宋体" w:cs="宋体"/>
                <w:sz w:val="18"/>
                <w:szCs w:val="18"/>
              </w:rPr>
            </w:pPr>
          </w:p>
        </w:tc>
        <w:tc>
          <w:tcPr>
            <w:tcW w:w="1092" w:type="dxa"/>
            <w:vAlign w:val="center"/>
          </w:tcPr>
          <w:p w14:paraId="2DE1BD99">
            <w:pPr>
              <w:jc w:val="center"/>
              <w:rPr>
                <w:rFonts w:hint="eastAsia" w:ascii="宋体" w:hAnsi="宋体" w:eastAsia="宋体" w:cs="宋体"/>
                <w:sz w:val="18"/>
                <w:szCs w:val="18"/>
              </w:rPr>
            </w:pPr>
            <w:r>
              <w:rPr>
                <w:rFonts w:hint="eastAsia" w:ascii="宋体" w:hAnsi="宋体" w:eastAsia="宋体" w:cs="宋体"/>
                <w:sz w:val="18"/>
                <w:szCs w:val="18"/>
              </w:rPr>
              <w:t>130173</w:t>
            </w:r>
          </w:p>
        </w:tc>
        <w:tc>
          <w:tcPr>
            <w:tcW w:w="4443" w:type="dxa"/>
            <w:gridSpan w:val="5"/>
            <w:vAlign w:val="center"/>
          </w:tcPr>
          <w:p w14:paraId="48336E53">
            <w:pPr>
              <w:jc w:val="left"/>
              <w:rPr>
                <w:rFonts w:hint="eastAsia" w:ascii="宋体" w:hAnsi="宋体" w:eastAsia="宋体" w:cs="宋体"/>
                <w:sz w:val="18"/>
                <w:szCs w:val="18"/>
              </w:rPr>
            </w:pPr>
            <w:r>
              <w:rPr>
                <w:rFonts w:hint="eastAsia" w:ascii="宋体" w:hAnsi="宋体" w:eastAsia="宋体" w:cs="宋体"/>
                <w:sz w:val="18"/>
                <w:szCs w:val="18"/>
              </w:rPr>
              <w:t>教学测试与评估</w:t>
            </w:r>
          </w:p>
          <w:p w14:paraId="781C4B87">
            <w:pPr>
              <w:jc w:val="left"/>
              <w:rPr>
                <w:rFonts w:hint="eastAsia" w:ascii="宋体" w:hAnsi="宋体" w:eastAsia="宋体" w:cs="宋体"/>
                <w:sz w:val="18"/>
                <w:szCs w:val="18"/>
              </w:rPr>
            </w:pPr>
            <w:r>
              <w:rPr>
                <w:rFonts w:hint="eastAsia" w:ascii="Times New Roman" w:hAnsi="Times New Roman" w:eastAsia="宋体" w:cs="Times New Roman"/>
                <w:sz w:val="18"/>
                <w:szCs w:val="18"/>
              </w:rPr>
              <w:t>Instructional Testing and Evaluation</w:t>
            </w:r>
          </w:p>
        </w:tc>
        <w:tc>
          <w:tcPr>
            <w:tcW w:w="558" w:type="dxa"/>
            <w:vAlign w:val="center"/>
          </w:tcPr>
          <w:p w14:paraId="708A7107">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0A1F0478">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62FB2ADC">
            <w:pPr>
              <w:pStyle w:val="5"/>
              <w:spacing w:line="240" w:lineRule="auto"/>
              <w:jc w:val="center"/>
              <w:rPr>
                <w:rFonts w:hint="eastAsia" w:ascii="宋体" w:hAnsi="宋体" w:cs="宋体"/>
                <w:b/>
                <w:sz w:val="18"/>
                <w:szCs w:val="18"/>
              </w:rPr>
            </w:pPr>
          </w:p>
        </w:tc>
      </w:tr>
      <w:tr w14:paraId="02223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46F064A3">
            <w:pPr>
              <w:spacing w:line="360" w:lineRule="exact"/>
              <w:jc w:val="center"/>
              <w:rPr>
                <w:rFonts w:hint="eastAsia" w:ascii="宋体" w:hAnsi="宋体" w:eastAsia="宋体" w:cs="宋体"/>
                <w:sz w:val="18"/>
                <w:szCs w:val="18"/>
              </w:rPr>
            </w:pPr>
          </w:p>
        </w:tc>
        <w:tc>
          <w:tcPr>
            <w:tcW w:w="1092" w:type="dxa"/>
            <w:vAlign w:val="center"/>
          </w:tcPr>
          <w:p w14:paraId="0F51900B">
            <w:pPr>
              <w:jc w:val="center"/>
              <w:rPr>
                <w:rFonts w:hint="eastAsia" w:ascii="宋体" w:hAnsi="宋体" w:eastAsia="宋体" w:cs="宋体"/>
                <w:sz w:val="18"/>
                <w:szCs w:val="18"/>
              </w:rPr>
            </w:pPr>
            <w:r>
              <w:rPr>
                <w:rFonts w:hint="eastAsia" w:ascii="宋体" w:hAnsi="宋体" w:eastAsia="宋体" w:cs="宋体"/>
                <w:sz w:val="18"/>
                <w:szCs w:val="18"/>
              </w:rPr>
              <w:t>130174</w:t>
            </w:r>
          </w:p>
        </w:tc>
        <w:tc>
          <w:tcPr>
            <w:tcW w:w="4443" w:type="dxa"/>
            <w:gridSpan w:val="5"/>
            <w:vAlign w:val="center"/>
          </w:tcPr>
          <w:p w14:paraId="470FACC5">
            <w:pPr>
              <w:jc w:val="left"/>
              <w:rPr>
                <w:rFonts w:hint="eastAsia" w:ascii="宋体" w:hAnsi="宋体" w:eastAsia="宋体" w:cs="宋体"/>
                <w:sz w:val="18"/>
                <w:szCs w:val="18"/>
              </w:rPr>
            </w:pPr>
            <w:r>
              <w:rPr>
                <w:rFonts w:hint="eastAsia" w:ascii="宋体" w:hAnsi="宋体" w:eastAsia="宋体" w:cs="宋体"/>
                <w:sz w:val="18"/>
                <w:szCs w:val="18"/>
              </w:rPr>
              <w:t>教学调查与分析</w:t>
            </w:r>
          </w:p>
          <w:p w14:paraId="3F63D2F0">
            <w:pPr>
              <w:jc w:val="left"/>
              <w:rPr>
                <w:rFonts w:hint="eastAsia" w:ascii="宋体" w:hAnsi="宋体" w:eastAsia="宋体" w:cs="宋体"/>
                <w:sz w:val="18"/>
                <w:szCs w:val="18"/>
              </w:rPr>
            </w:pPr>
            <w:r>
              <w:rPr>
                <w:rFonts w:hint="eastAsia" w:ascii="Times New Roman" w:hAnsi="Times New Roman" w:eastAsia="宋体" w:cs="Times New Roman"/>
                <w:sz w:val="18"/>
                <w:szCs w:val="18"/>
              </w:rPr>
              <w:t>Investigation and Analysis of Teaching</w:t>
            </w:r>
          </w:p>
        </w:tc>
        <w:tc>
          <w:tcPr>
            <w:tcW w:w="558" w:type="dxa"/>
            <w:vAlign w:val="center"/>
          </w:tcPr>
          <w:p w14:paraId="73A02510">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61BADBE2">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58925DB8">
            <w:pPr>
              <w:pStyle w:val="5"/>
              <w:spacing w:line="240" w:lineRule="auto"/>
              <w:jc w:val="center"/>
              <w:rPr>
                <w:rFonts w:hint="eastAsia" w:ascii="宋体" w:hAnsi="宋体" w:cs="宋体"/>
                <w:b/>
                <w:sz w:val="18"/>
                <w:szCs w:val="18"/>
              </w:rPr>
            </w:pPr>
          </w:p>
        </w:tc>
      </w:tr>
      <w:tr w14:paraId="61D06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2020" w:type="dxa"/>
            <w:gridSpan w:val="3"/>
            <w:vMerge w:val="continue"/>
          </w:tcPr>
          <w:p w14:paraId="757AEBDB">
            <w:pPr>
              <w:spacing w:line="360" w:lineRule="exact"/>
              <w:jc w:val="center"/>
              <w:rPr>
                <w:rFonts w:hint="eastAsia" w:ascii="宋体" w:hAnsi="宋体" w:eastAsia="宋体" w:cs="宋体"/>
                <w:sz w:val="18"/>
                <w:szCs w:val="18"/>
              </w:rPr>
            </w:pPr>
          </w:p>
        </w:tc>
        <w:tc>
          <w:tcPr>
            <w:tcW w:w="1092" w:type="dxa"/>
            <w:vAlign w:val="center"/>
          </w:tcPr>
          <w:p w14:paraId="07B723F4">
            <w:pPr>
              <w:jc w:val="center"/>
              <w:rPr>
                <w:rFonts w:hint="eastAsia" w:ascii="宋体" w:hAnsi="宋体" w:eastAsia="宋体" w:cs="宋体"/>
                <w:sz w:val="18"/>
                <w:szCs w:val="18"/>
              </w:rPr>
            </w:pPr>
            <w:r>
              <w:rPr>
                <w:rFonts w:hint="eastAsia" w:ascii="宋体" w:hAnsi="宋体" w:eastAsia="宋体" w:cs="宋体"/>
                <w:sz w:val="18"/>
                <w:szCs w:val="18"/>
              </w:rPr>
              <w:t>130175</w:t>
            </w:r>
          </w:p>
        </w:tc>
        <w:tc>
          <w:tcPr>
            <w:tcW w:w="4443" w:type="dxa"/>
            <w:gridSpan w:val="5"/>
            <w:vAlign w:val="center"/>
          </w:tcPr>
          <w:p w14:paraId="17EB07B5">
            <w:pPr>
              <w:jc w:val="left"/>
              <w:rPr>
                <w:rFonts w:hint="eastAsia" w:ascii="宋体" w:hAnsi="宋体" w:eastAsia="宋体" w:cs="宋体"/>
                <w:sz w:val="18"/>
                <w:szCs w:val="18"/>
              </w:rPr>
            </w:pPr>
            <w:r>
              <w:rPr>
                <w:rFonts w:hint="eastAsia" w:ascii="宋体" w:hAnsi="宋体" w:eastAsia="宋体" w:cs="宋体"/>
                <w:sz w:val="18"/>
                <w:szCs w:val="18"/>
              </w:rPr>
              <w:t>中华文化才艺与展示</w:t>
            </w:r>
          </w:p>
          <w:p w14:paraId="2E9369D8">
            <w:pPr>
              <w:jc w:val="left"/>
              <w:rPr>
                <w:rFonts w:hint="eastAsia" w:ascii="宋体" w:hAnsi="宋体" w:eastAsia="宋体" w:cs="宋体"/>
                <w:sz w:val="18"/>
                <w:szCs w:val="18"/>
              </w:rPr>
            </w:pPr>
            <w:r>
              <w:rPr>
                <w:rFonts w:hint="eastAsia" w:ascii="Times New Roman" w:hAnsi="Times New Roman" w:eastAsia="宋体" w:cs="Times New Roman"/>
                <w:sz w:val="18"/>
                <w:szCs w:val="18"/>
              </w:rPr>
              <w:t>Chinese Cultural Talent and Exhibition</w:t>
            </w:r>
          </w:p>
        </w:tc>
        <w:tc>
          <w:tcPr>
            <w:tcW w:w="558" w:type="dxa"/>
            <w:vAlign w:val="center"/>
          </w:tcPr>
          <w:p w14:paraId="68505B0F">
            <w:pPr>
              <w:jc w:val="center"/>
              <w:rPr>
                <w:rFonts w:hint="eastAsia" w:ascii="宋体" w:hAnsi="宋体" w:eastAsia="宋体" w:cs="宋体"/>
                <w:color w:val="FF0000"/>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6DC23540">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4E81BA2E">
            <w:pPr>
              <w:pStyle w:val="5"/>
              <w:spacing w:line="240" w:lineRule="auto"/>
              <w:jc w:val="center"/>
              <w:rPr>
                <w:rFonts w:hint="eastAsia" w:ascii="宋体" w:hAnsi="宋体" w:cs="宋体"/>
                <w:b/>
                <w:sz w:val="18"/>
                <w:szCs w:val="18"/>
              </w:rPr>
            </w:pPr>
          </w:p>
        </w:tc>
      </w:tr>
      <w:tr w14:paraId="158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1204E7FF">
            <w:pPr>
              <w:spacing w:line="360" w:lineRule="exact"/>
              <w:jc w:val="center"/>
              <w:rPr>
                <w:rFonts w:hint="eastAsia" w:ascii="宋体" w:hAnsi="宋体" w:eastAsia="宋体" w:cs="宋体"/>
                <w:sz w:val="18"/>
                <w:szCs w:val="18"/>
              </w:rPr>
            </w:pPr>
          </w:p>
        </w:tc>
        <w:tc>
          <w:tcPr>
            <w:tcW w:w="1092" w:type="dxa"/>
            <w:vAlign w:val="center"/>
          </w:tcPr>
          <w:p w14:paraId="6144EDD6">
            <w:pPr>
              <w:jc w:val="center"/>
              <w:rPr>
                <w:rFonts w:hint="eastAsia" w:ascii="宋体" w:hAnsi="宋体" w:eastAsia="宋体" w:cs="宋体"/>
                <w:sz w:val="18"/>
                <w:szCs w:val="18"/>
              </w:rPr>
            </w:pPr>
            <w:r>
              <w:rPr>
                <w:rFonts w:hint="eastAsia" w:ascii="宋体" w:hAnsi="宋体" w:eastAsia="宋体" w:cs="宋体"/>
                <w:sz w:val="18"/>
                <w:szCs w:val="18"/>
              </w:rPr>
              <w:t>130176</w:t>
            </w:r>
          </w:p>
        </w:tc>
        <w:tc>
          <w:tcPr>
            <w:tcW w:w="4443" w:type="dxa"/>
            <w:gridSpan w:val="5"/>
            <w:vAlign w:val="center"/>
          </w:tcPr>
          <w:p w14:paraId="2C652088">
            <w:pPr>
              <w:jc w:val="left"/>
              <w:rPr>
                <w:rFonts w:hint="eastAsia" w:ascii="宋体" w:hAnsi="宋体" w:eastAsia="宋体" w:cs="宋体"/>
                <w:sz w:val="18"/>
                <w:szCs w:val="18"/>
              </w:rPr>
            </w:pPr>
            <w:r>
              <w:rPr>
                <w:rFonts w:hint="eastAsia" w:ascii="宋体" w:hAnsi="宋体" w:eastAsia="宋体" w:cs="宋体"/>
                <w:sz w:val="18"/>
                <w:szCs w:val="18"/>
              </w:rPr>
              <w:t>论文写作训练</w:t>
            </w:r>
          </w:p>
          <w:p w14:paraId="3E9DC990">
            <w:pPr>
              <w:jc w:val="left"/>
              <w:rPr>
                <w:rFonts w:hint="eastAsia" w:ascii="宋体" w:hAnsi="宋体" w:eastAsia="宋体" w:cs="宋体"/>
                <w:sz w:val="18"/>
                <w:szCs w:val="18"/>
              </w:rPr>
            </w:pPr>
            <w:r>
              <w:rPr>
                <w:rFonts w:hint="eastAsia" w:ascii="Times New Roman" w:hAnsi="Times New Roman" w:eastAsia="宋体" w:cs="Times New Roman"/>
                <w:sz w:val="18"/>
                <w:szCs w:val="18"/>
              </w:rPr>
              <w:t>Thesis Writing Training</w:t>
            </w:r>
          </w:p>
        </w:tc>
        <w:tc>
          <w:tcPr>
            <w:tcW w:w="558" w:type="dxa"/>
            <w:vAlign w:val="center"/>
          </w:tcPr>
          <w:p w14:paraId="464A7014">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30BA9625">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011ECBFB">
            <w:pPr>
              <w:pStyle w:val="5"/>
              <w:spacing w:line="240" w:lineRule="auto"/>
              <w:jc w:val="center"/>
              <w:rPr>
                <w:rFonts w:hint="eastAsia" w:ascii="宋体" w:hAnsi="宋体" w:cs="宋体"/>
                <w:b/>
                <w:sz w:val="18"/>
                <w:szCs w:val="18"/>
              </w:rPr>
            </w:pPr>
          </w:p>
        </w:tc>
      </w:tr>
      <w:tr w14:paraId="51D00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080E846A">
            <w:pPr>
              <w:spacing w:line="360" w:lineRule="exact"/>
              <w:jc w:val="center"/>
              <w:rPr>
                <w:rFonts w:hint="eastAsia" w:ascii="宋体" w:hAnsi="宋体" w:eastAsia="宋体" w:cs="宋体"/>
                <w:sz w:val="18"/>
                <w:szCs w:val="18"/>
              </w:rPr>
            </w:pPr>
          </w:p>
        </w:tc>
        <w:tc>
          <w:tcPr>
            <w:tcW w:w="1092" w:type="dxa"/>
            <w:vAlign w:val="center"/>
          </w:tcPr>
          <w:p w14:paraId="2FFA8873">
            <w:pPr>
              <w:jc w:val="center"/>
              <w:rPr>
                <w:rFonts w:hint="eastAsia" w:ascii="宋体" w:hAnsi="宋体" w:eastAsia="宋体" w:cs="宋体"/>
                <w:sz w:val="18"/>
                <w:szCs w:val="18"/>
              </w:rPr>
            </w:pPr>
            <w:r>
              <w:rPr>
                <w:rFonts w:hint="eastAsia" w:ascii="宋体" w:hAnsi="宋体" w:eastAsia="宋体" w:cs="宋体"/>
                <w:sz w:val="18"/>
                <w:szCs w:val="18"/>
              </w:rPr>
              <w:t>130177</w:t>
            </w:r>
          </w:p>
        </w:tc>
        <w:tc>
          <w:tcPr>
            <w:tcW w:w="4443" w:type="dxa"/>
            <w:gridSpan w:val="5"/>
            <w:vAlign w:val="center"/>
          </w:tcPr>
          <w:p w14:paraId="39516CDF">
            <w:pPr>
              <w:jc w:val="left"/>
              <w:rPr>
                <w:rFonts w:hint="eastAsia" w:ascii="宋体" w:hAnsi="宋体" w:eastAsia="宋体" w:cs="宋体"/>
                <w:sz w:val="18"/>
                <w:szCs w:val="18"/>
              </w:rPr>
            </w:pPr>
            <w:r>
              <w:rPr>
                <w:rFonts w:hint="eastAsia" w:ascii="宋体" w:hAnsi="宋体" w:eastAsia="宋体" w:cs="宋体"/>
                <w:sz w:val="18"/>
                <w:szCs w:val="18"/>
              </w:rPr>
              <w:t>《国际中文教育中文水平等级标准》研究</w:t>
            </w:r>
          </w:p>
          <w:p w14:paraId="03CA74FB">
            <w:pPr>
              <w:jc w:val="left"/>
              <w:rPr>
                <w:rFonts w:hint="eastAsia" w:ascii="宋体" w:hAnsi="宋体" w:eastAsia="宋体" w:cs="宋体"/>
                <w:sz w:val="18"/>
                <w:szCs w:val="18"/>
              </w:rPr>
            </w:pPr>
            <w:r>
              <w:rPr>
                <w:rFonts w:hint="eastAsia" w:ascii="Times New Roman" w:hAnsi="Times New Roman" w:eastAsia="宋体" w:cs="Times New Roman"/>
                <w:sz w:val="18"/>
                <w:szCs w:val="18"/>
              </w:rPr>
              <w:t>Research on Chinese Proficiency Grading Standards for International Chinese Language Education</w:t>
            </w:r>
          </w:p>
        </w:tc>
        <w:tc>
          <w:tcPr>
            <w:tcW w:w="558" w:type="dxa"/>
            <w:vAlign w:val="center"/>
          </w:tcPr>
          <w:p w14:paraId="08F66168">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6F038A4D">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75DD9CA9">
            <w:pPr>
              <w:pStyle w:val="5"/>
              <w:spacing w:line="240" w:lineRule="auto"/>
              <w:jc w:val="center"/>
              <w:rPr>
                <w:rFonts w:hint="eastAsia" w:ascii="宋体" w:hAnsi="宋体" w:cs="宋体"/>
                <w:b/>
                <w:sz w:val="18"/>
                <w:szCs w:val="18"/>
              </w:rPr>
            </w:pPr>
          </w:p>
        </w:tc>
      </w:tr>
      <w:tr w14:paraId="329A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020" w:type="dxa"/>
            <w:gridSpan w:val="3"/>
            <w:vMerge w:val="continue"/>
          </w:tcPr>
          <w:p w14:paraId="34A155EA">
            <w:pPr>
              <w:spacing w:line="360" w:lineRule="exact"/>
              <w:jc w:val="center"/>
              <w:rPr>
                <w:rFonts w:hint="eastAsia" w:ascii="宋体" w:hAnsi="宋体" w:eastAsia="宋体" w:cs="宋体"/>
                <w:sz w:val="18"/>
                <w:szCs w:val="18"/>
              </w:rPr>
            </w:pPr>
          </w:p>
        </w:tc>
        <w:tc>
          <w:tcPr>
            <w:tcW w:w="1092" w:type="dxa"/>
            <w:vAlign w:val="center"/>
          </w:tcPr>
          <w:p w14:paraId="2C69C661">
            <w:pPr>
              <w:jc w:val="center"/>
              <w:rPr>
                <w:rFonts w:hint="eastAsia" w:ascii="宋体" w:hAnsi="宋体" w:eastAsia="宋体" w:cs="宋体"/>
                <w:sz w:val="18"/>
                <w:szCs w:val="18"/>
              </w:rPr>
            </w:pPr>
            <w:r>
              <w:rPr>
                <w:rFonts w:hint="eastAsia" w:ascii="宋体" w:hAnsi="宋体" w:eastAsia="宋体" w:cs="宋体"/>
                <w:sz w:val="18"/>
                <w:szCs w:val="18"/>
              </w:rPr>
              <w:t>130178</w:t>
            </w:r>
          </w:p>
        </w:tc>
        <w:tc>
          <w:tcPr>
            <w:tcW w:w="4443" w:type="dxa"/>
            <w:gridSpan w:val="5"/>
            <w:vAlign w:val="center"/>
          </w:tcPr>
          <w:p w14:paraId="70EC3EF1">
            <w:pPr>
              <w:jc w:val="left"/>
              <w:rPr>
                <w:rFonts w:hint="eastAsia" w:ascii="宋体" w:hAnsi="宋体" w:eastAsia="宋体" w:cs="宋体"/>
                <w:sz w:val="18"/>
                <w:szCs w:val="18"/>
              </w:rPr>
            </w:pPr>
            <w:r>
              <w:rPr>
                <w:rFonts w:hint="eastAsia" w:ascii="宋体" w:hAnsi="宋体" w:eastAsia="宋体" w:cs="宋体"/>
                <w:sz w:val="18"/>
                <w:szCs w:val="18"/>
              </w:rPr>
              <w:t>齐文化概论</w:t>
            </w:r>
          </w:p>
          <w:p w14:paraId="32379D3C">
            <w:pPr>
              <w:jc w:val="left"/>
              <w:rPr>
                <w:rFonts w:hint="eastAsia" w:ascii="宋体" w:hAnsi="宋体" w:eastAsia="宋体" w:cs="宋体"/>
                <w:sz w:val="18"/>
                <w:szCs w:val="18"/>
              </w:rPr>
            </w:pPr>
            <w:r>
              <w:rPr>
                <w:rFonts w:hint="eastAsia" w:ascii="Times New Roman" w:hAnsi="Times New Roman" w:eastAsia="宋体" w:cs="Times New Roman"/>
                <w:sz w:val="18"/>
                <w:szCs w:val="18"/>
              </w:rPr>
              <w:t>Introduction to Qi Culture</w:t>
            </w:r>
          </w:p>
        </w:tc>
        <w:tc>
          <w:tcPr>
            <w:tcW w:w="558" w:type="dxa"/>
            <w:vAlign w:val="center"/>
          </w:tcPr>
          <w:p w14:paraId="1A97E00A">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tcBorders>
              <w:top w:val="single" w:color="auto" w:sz="4" w:space="0"/>
              <w:left w:val="single" w:color="auto" w:sz="4" w:space="0"/>
              <w:right w:val="single" w:color="auto" w:sz="4" w:space="0"/>
            </w:tcBorders>
            <w:vAlign w:val="center"/>
          </w:tcPr>
          <w:p w14:paraId="4F7A9FEC">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2E55F4BB">
            <w:pPr>
              <w:pStyle w:val="5"/>
              <w:spacing w:line="240" w:lineRule="auto"/>
              <w:jc w:val="center"/>
              <w:rPr>
                <w:rFonts w:hint="eastAsia" w:ascii="宋体" w:hAnsi="宋体" w:cs="宋体"/>
                <w:b/>
                <w:sz w:val="18"/>
                <w:szCs w:val="18"/>
              </w:rPr>
            </w:pPr>
          </w:p>
        </w:tc>
      </w:tr>
      <w:tr w14:paraId="49C01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020" w:type="dxa"/>
            <w:gridSpan w:val="3"/>
            <w:vMerge w:val="continue"/>
          </w:tcPr>
          <w:p w14:paraId="6A8D8DD1">
            <w:pPr>
              <w:spacing w:line="360" w:lineRule="exact"/>
              <w:jc w:val="center"/>
              <w:rPr>
                <w:rFonts w:hint="eastAsia" w:ascii="宋体" w:hAnsi="宋体" w:eastAsia="宋体" w:cs="宋体"/>
                <w:sz w:val="18"/>
                <w:szCs w:val="18"/>
              </w:rPr>
            </w:pPr>
          </w:p>
        </w:tc>
        <w:tc>
          <w:tcPr>
            <w:tcW w:w="1092" w:type="dxa"/>
            <w:vAlign w:val="center"/>
          </w:tcPr>
          <w:p w14:paraId="538688A8">
            <w:pPr>
              <w:jc w:val="center"/>
              <w:rPr>
                <w:rFonts w:hint="eastAsia" w:ascii="宋体" w:hAnsi="宋体" w:eastAsia="宋体" w:cs="宋体"/>
                <w:sz w:val="18"/>
                <w:szCs w:val="18"/>
              </w:rPr>
            </w:pPr>
            <w:r>
              <w:rPr>
                <w:rFonts w:hint="eastAsia" w:ascii="宋体" w:hAnsi="宋体" w:eastAsia="宋体" w:cs="宋体"/>
                <w:sz w:val="18"/>
                <w:szCs w:val="18"/>
              </w:rPr>
              <w:t>130179</w:t>
            </w:r>
          </w:p>
        </w:tc>
        <w:tc>
          <w:tcPr>
            <w:tcW w:w="4443" w:type="dxa"/>
            <w:gridSpan w:val="5"/>
            <w:vAlign w:val="center"/>
          </w:tcPr>
          <w:p w14:paraId="6B3566ED">
            <w:pPr>
              <w:jc w:val="left"/>
              <w:rPr>
                <w:rFonts w:hint="eastAsia" w:ascii="宋体" w:hAnsi="宋体" w:eastAsia="宋体" w:cs="宋体"/>
                <w:sz w:val="18"/>
                <w:szCs w:val="18"/>
              </w:rPr>
            </w:pPr>
            <w:r>
              <w:rPr>
                <w:rFonts w:hint="eastAsia" w:ascii="宋体" w:hAnsi="宋体" w:eastAsia="宋体" w:cs="宋体"/>
                <w:sz w:val="18"/>
                <w:szCs w:val="18"/>
              </w:rPr>
              <w:t>中华文学经典</w:t>
            </w:r>
          </w:p>
          <w:p w14:paraId="7ABA8064">
            <w:pPr>
              <w:jc w:val="left"/>
              <w:rPr>
                <w:rFonts w:hint="eastAsia" w:ascii="宋体" w:hAnsi="宋体" w:eastAsia="宋体" w:cs="宋体"/>
                <w:sz w:val="18"/>
                <w:szCs w:val="18"/>
              </w:rPr>
            </w:pPr>
            <w:r>
              <w:rPr>
                <w:rFonts w:hint="eastAsia" w:ascii="Times New Roman" w:hAnsi="Times New Roman" w:eastAsia="宋体" w:cs="Times New Roman"/>
                <w:sz w:val="18"/>
                <w:szCs w:val="18"/>
              </w:rPr>
              <w:t>Chinese Literary Classics</w:t>
            </w:r>
          </w:p>
        </w:tc>
        <w:tc>
          <w:tcPr>
            <w:tcW w:w="558" w:type="dxa"/>
            <w:vAlign w:val="center"/>
          </w:tcPr>
          <w:p w14:paraId="5FDC648D">
            <w:pPr>
              <w:jc w:val="center"/>
              <w:rPr>
                <w:rFonts w:hint="eastAsia" w:ascii="宋体" w:hAnsi="宋体" w:eastAsia="宋体" w:cs="宋体"/>
                <w:sz w:val="18"/>
                <w:szCs w:val="18"/>
              </w:rPr>
            </w:pPr>
            <w:r>
              <w:rPr>
                <w:rFonts w:hint="eastAsia" w:ascii="宋体" w:hAnsi="宋体" w:eastAsia="宋体" w:cs="宋体"/>
                <w:sz w:val="18"/>
                <w:szCs w:val="18"/>
              </w:rPr>
              <w:t>2</w:t>
            </w:r>
          </w:p>
        </w:tc>
        <w:tc>
          <w:tcPr>
            <w:tcW w:w="558" w:type="dxa"/>
            <w:tcBorders>
              <w:top w:val="single" w:color="auto" w:sz="4" w:space="0"/>
              <w:left w:val="single" w:color="auto" w:sz="4" w:space="0"/>
              <w:right w:val="single" w:color="auto" w:sz="4" w:space="0"/>
            </w:tcBorders>
            <w:vAlign w:val="center"/>
          </w:tcPr>
          <w:p w14:paraId="250A688A">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1B593E84">
            <w:pPr>
              <w:pStyle w:val="5"/>
              <w:spacing w:line="240" w:lineRule="auto"/>
              <w:jc w:val="center"/>
              <w:rPr>
                <w:rFonts w:hint="eastAsia" w:ascii="宋体" w:hAnsi="宋体" w:cs="宋体"/>
                <w:b/>
                <w:sz w:val="18"/>
                <w:szCs w:val="18"/>
              </w:rPr>
            </w:pPr>
          </w:p>
        </w:tc>
      </w:tr>
      <w:tr w14:paraId="1A41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20" w:type="dxa"/>
            <w:gridSpan w:val="3"/>
            <w:vMerge w:val="restart"/>
            <w:vAlign w:val="center"/>
          </w:tcPr>
          <w:p w14:paraId="68AFCBDA">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素养选修课</w:t>
            </w:r>
          </w:p>
          <w:p w14:paraId="3B2C5438">
            <w:pPr>
              <w:pStyle w:val="5"/>
              <w:spacing w:line="360" w:lineRule="exact"/>
              <w:ind w:firstLine="0"/>
              <w:jc w:val="center"/>
              <w:rPr>
                <w:rFonts w:hint="eastAsia" w:ascii="宋体" w:hAnsi="宋体" w:cs="宋体"/>
                <w:bCs/>
                <w:sz w:val="18"/>
                <w:szCs w:val="18"/>
              </w:rPr>
            </w:pPr>
            <w:r>
              <w:rPr>
                <w:rFonts w:hint="eastAsia" w:ascii="宋体" w:hAnsi="宋体" w:cs="宋体"/>
                <w:bCs/>
                <w:sz w:val="18"/>
                <w:szCs w:val="18"/>
              </w:rPr>
              <w:t>1学分</w:t>
            </w:r>
          </w:p>
        </w:tc>
        <w:tc>
          <w:tcPr>
            <w:tcW w:w="1092" w:type="dxa"/>
            <w:vAlign w:val="center"/>
          </w:tcPr>
          <w:p w14:paraId="2EA7C302">
            <w:pPr>
              <w:jc w:val="center"/>
              <w:rPr>
                <w:rFonts w:hint="eastAsia" w:ascii="宋体" w:hAnsi="宋体" w:eastAsia="宋体" w:cs="宋体"/>
                <w:sz w:val="18"/>
                <w:szCs w:val="18"/>
              </w:rPr>
            </w:pPr>
            <w:r>
              <w:rPr>
                <w:rFonts w:hint="eastAsia" w:ascii="宋体" w:hAnsi="宋体" w:eastAsia="宋体" w:cs="宋体"/>
                <w:sz w:val="18"/>
                <w:szCs w:val="18"/>
              </w:rPr>
              <w:t>G31001</w:t>
            </w:r>
          </w:p>
        </w:tc>
        <w:tc>
          <w:tcPr>
            <w:tcW w:w="4443" w:type="dxa"/>
            <w:gridSpan w:val="5"/>
            <w:vAlign w:val="center"/>
          </w:tcPr>
          <w:p w14:paraId="74F0F552">
            <w:pPr>
              <w:spacing w:line="300" w:lineRule="exact"/>
              <w:jc w:val="left"/>
              <w:rPr>
                <w:rFonts w:hint="eastAsia" w:ascii="宋体" w:hAnsi="宋体" w:eastAsia="宋体" w:cs="宋体"/>
                <w:sz w:val="18"/>
                <w:szCs w:val="18"/>
              </w:rPr>
            </w:pPr>
            <w:r>
              <w:rPr>
                <w:rFonts w:hint="eastAsia" w:ascii="宋体" w:hAnsi="宋体" w:eastAsia="宋体" w:cs="宋体"/>
                <w:sz w:val="18"/>
                <w:szCs w:val="18"/>
              </w:rPr>
              <w:t>中国传统文化</w:t>
            </w:r>
          </w:p>
          <w:p w14:paraId="5B004392">
            <w:pPr>
              <w:jc w:val="left"/>
              <w:rPr>
                <w:rFonts w:hint="eastAsia" w:ascii="宋体" w:hAnsi="宋体" w:eastAsia="宋体" w:cs="宋体"/>
                <w:sz w:val="18"/>
                <w:szCs w:val="18"/>
              </w:rPr>
            </w:pPr>
            <w:r>
              <w:rPr>
                <w:rFonts w:ascii="Times New Roman" w:hAnsi="Times New Roman" w:eastAsia="宋体" w:cs="Times New Roman"/>
                <w:sz w:val="18"/>
                <w:szCs w:val="18"/>
              </w:rPr>
              <w:t>Ch</w:t>
            </w:r>
            <w:r>
              <w:rPr>
                <w:rFonts w:hint="eastAsia" w:ascii="Times New Roman" w:hAnsi="Times New Roman" w:eastAsia="宋体" w:cs="Times New Roman"/>
                <w:sz w:val="18"/>
                <w:szCs w:val="18"/>
              </w:rPr>
              <w:t>inese Traditional Culture</w:t>
            </w:r>
          </w:p>
        </w:tc>
        <w:tc>
          <w:tcPr>
            <w:tcW w:w="558" w:type="dxa"/>
            <w:vAlign w:val="center"/>
          </w:tcPr>
          <w:p w14:paraId="342D30C0">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vAlign w:val="center"/>
          </w:tcPr>
          <w:p w14:paraId="44B40121">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restart"/>
          </w:tcPr>
          <w:p w14:paraId="489C1E7D">
            <w:pPr>
              <w:pStyle w:val="5"/>
              <w:spacing w:line="240" w:lineRule="auto"/>
              <w:ind w:firstLine="0"/>
              <w:jc w:val="center"/>
              <w:rPr>
                <w:rFonts w:hint="eastAsia" w:ascii="宋体" w:hAnsi="宋体" w:cs="宋体"/>
                <w:b/>
                <w:sz w:val="18"/>
                <w:szCs w:val="18"/>
              </w:rPr>
            </w:pPr>
          </w:p>
          <w:p w14:paraId="284A7089">
            <w:pPr>
              <w:pStyle w:val="5"/>
              <w:spacing w:line="240" w:lineRule="auto"/>
              <w:ind w:firstLine="0"/>
              <w:jc w:val="center"/>
              <w:rPr>
                <w:rFonts w:hint="eastAsia" w:ascii="宋体" w:hAnsi="宋体" w:cs="宋体"/>
                <w:b/>
                <w:sz w:val="18"/>
                <w:szCs w:val="18"/>
              </w:rPr>
            </w:pPr>
          </w:p>
          <w:p w14:paraId="4ACC0A6A">
            <w:pPr>
              <w:pStyle w:val="5"/>
              <w:spacing w:line="240" w:lineRule="auto"/>
              <w:ind w:firstLine="0"/>
              <w:jc w:val="center"/>
              <w:rPr>
                <w:rFonts w:hint="eastAsia" w:ascii="宋体" w:hAnsi="宋体" w:cs="宋体"/>
                <w:b/>
                <w:sz w:val="18"/>
                <w:szCs w:val="18"/>
              </w:rPr>
            </w:pPr>
          </w:p>
          <w:p w14:paraId="10B86BC3">
            <w:pPr>
              <w:pStyle w:val="5"/>
              <w:spacing w:line="240" w:lineRule="auto"/>
              <w:ind w:firstLine="0"/>
              <w:jc w:val="center"/>
              <w:rPr>
                <w:rFonts w:hint="eastAsia" w:ascii="宋体" w:hAnsi="宋体" w:cs="宋体"/>
                <w:b/>
                <w:sz w:val="18"/>
                <w:szCs w:val="18"/>
              </w:rPr>
            </w:pPr>
          </w:p>
          <w:p w14:paraId="0E0AD6DC">
            <w:pPr>
              <w:pStyle w:val="5"/>
              <w:spacing w:line="240" w:lineRule="auto"/>
              <w:ind w:firstLine="0"/>
              <w:jc w:val="center"/>
              <w:rPr>
                <w:rFonts w:hint="eastAsia" w:ascii="宋体" w:hAnsi="宋体" w:cs="宋体"/>
                <w:b/>
                <w:sz w:val="18"/>
                <w:szCs w:val="18"/>
              </w:rPr>
            </w:pPr>
          </w:p>
          <w:p w14:paraId="50E1602E">
            <w:pPr>
              <w:pStyle w:val="5"/>
              <w:spacing w:line="240" w:lineRule="auto"/>
              <w:ind w:firstLine="0"/>
              <w:jc w:val="center"/>
              <w:rPr>
                <w:rFonts w:hint="eastAsia" w:ascii="宋体" w:hAnsi="宋体" w:cs="宋体"/>
                <w:b/>
                <w:sz w:val="18"/>
                <w:szCs w:val="18"/>
              </w:rPr>
            </w:pPr>
          </w:p>
          <w:p w14:paraId="7133AFA2">
            <w:pPr>
              <w:pStyle w:val="5"/>
              <w:spacing w:line="240" w:lineRule="auto"/>
              <w:ind w:firstLine="0"/>
              <w:jc w:val="center"/>
              <w:rPr>
                <w:rFonts w:hint="eastAsia" w:ascii="宋体" w:hAnsi="宋体" w:cs="宋体"/>
                <w:b/>
                <w:sz w:val="18"/>
                <w:szCs w:val="18"/>
              </w:rPr>
            </w:pPr>
          </w:p>
          <w:p w14:paraId="66E5BB68">
            <w:pPr>
              <w:pStyle w:val="5"/>
              <w:spacing w:line="240" w:lineRule="auto"/>
              <w:ind w:firstLine="0"/>
              <w:jc w:val="center"/>
              <w:rPr>
                <w:rFonts w:hint="eastAsia" w:ascii="宋体" w:hAnsi="宋体" w:cs="宋体"/>
                <w:b/>
                <w:sz w:val="18"/>
                <w:szCs w:val="18"/>
              </w:rPr>
            </w:pPr>
          </w:p>
          <w:p w14:paraId="165371CE">
            <w:pPr>
              <w:pStyle w:val="5"/>
              <w:spacing w:line="240" w:lineRule="auto"/>
              <w:ind w:firstLine="0"/>
              <w:jc w:val="center"/>
              <w:rPr>
                <w:rFonts w:hint="eastAsia" w:ascii="宋体" w:hAnsi="宋体" w:cs="宋体"/>
                <w:bCs/>
                <w:sz w:val="18"/>
                <w:szCs w:val="18"/>
              </w:rPr>
            </w:pPr>
            <w:r>
              <w:rPr>
                <w:rFonts w:hint="eastAsia" w:ascii="宋体" w:hAnsi="宋体" w:cs="宋体"/>
                <w:bCs/>
                <w:sz w:val="18"/>
                <w:szCs w:val="18"/>
              </w:rPr>
              <w:t>选修</w:t>
            </w:r>
          </w:p>
        </w:tc>
      </w:tr>
      <w:tr w14:paraId="5FE3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20" w:type="dxa"/>
            <w:gridSpan w:val="3"/>
            <w:vMerge w:val="continue"/>
            <w:vAlign w:val="center"/>
          </w:tcPr>
          <w:p w14:paraId="64301EB9">
            <w:pPr>
              <w:pStyle w:val="5"/>
              <w:spacing w:line="360" w:lineRule="exact"/>
              <w:ind w:firstLine="0"/>
              <w:jc w:val="center"/>
              <w:rPr>
                <w:rFonts w:hint="eastAsia" w:ascii="宋体" w:hAnsi="宋体" w:cs="宋体"/>
                <w:bCs/>
                <w:sz w:val="18"/>
                <w:szCs w:val="18"/>
              </w:rPr>
            </w:pPr>
          </w:p>
        </w:tc>
        <w:tc>
          <w:tcPr>
            <w:tcW w:w="1092" w:type="dxa"/>
            <w:vAlign w:val="center"/>
          </w:tcPr>
          <w:p w14:paraId="2517809E">
            <w:pPr>
              <w:jc w:val="center"/>
              <w:rPr>
                <w:rFonts w:hint="eastAsia" w:ascii="宋体" w:hAnsi="宋体" w:eastAsia="宋体" w:cs="宋体"/>
                <w:sz w:val="18"/>
                <w:szCs w:val="18"/>
              </w:rPr>
            </w:pPr>
            <w:r>
              <w:rPr>
                <w:rFonts w:hint="eastAsia" w:ascii="宋体" w:hAnsi="宋体" w:eastAsia="宋体" w:cs="宋体"/>
                <w:sz w:val="18"/>
                <w:szCs w:val="18"/>
              </w:rPr>
              <w:t>G15001</w:t>
            </w:r>
          </w:p>
        </w:tc>
        <w:tc>
          <w:tcPr>
            <w:tcW w:w="4443" w:type="dxa"/>
            <w:gridSpan w:val="5"/>
            <w:vAlign w:val="center"/>
          </w:tcPr>
          <w:p w14:paraId="11ADE5F9">
            <w:pPr>
              <w:jc w:val="left"/>
              <w:rPr>
                <w:rFonts w:hint="eastAsia" w:ascii="宋体" w:hAnsi="宋体" w:eastAsia="宋体" w:cs="宋体"/>
                <w:sz w:val="18"/>
                <w:szCs w:val="18"/>
              </w:rPr>
            </w:pPr>
            <w:r>
              <w:rPr>
                <w:rFonts w:hint="eastAsia" w:ascii="宋体" w:hAnsi="宋体" w:eastAsia="宋体" w:cs="宋体"/>
                <w:sz w:val="18"/>
                <w:szCs w:val="18"/>
              </w:rPr>
              <w:t>东方哲学与现代化</w:t>
            </w:r>
          </w:p>
          <w:p w14:paraId="575C3A40">
            <w:pPr>
              <w:jc w:val="left"/>
              <w:rPr>
                <w:rFonts w:hint="eastAsia" w:ascii="宋体" w:hAnsi="宋体" w:eastAsia="宋体" w:cs="宋体"/>
                <w:sz w:val="18"/>
                <w:szCs w:val="18"/>
              </w:rPr>
            </w:pPr>
            <w:r>
              <w:rPr>
                <w:rFonts w:hint="eastAsia" w:ascii="Times New Roman" w:hAnsi="Times New Roman" w:eastAsia="宋体" w:cs="Times New Roman"/>
                <w:sz w:val="18"/>
                <w:szCs w:val="18"/>
              </w:rPr>
              <w:t>Oriental Philosophy and Modernization</w:t>
            </w:r>
          </w:p>
        </w:tc>
        <w:tc>
          <w:tcPr>
            <w:tcW w:w="558" w:type="dxa"/>
            <w:vAlign w:val="center"/>
          </w:tcPr>
          <w:p w14:paraId="08339D51">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vAlign w:val="center"/>
          </w:tcPr>
          <w:p w14:paraId="3F26EDC3">
            <w:pPr>
              <w:jc w:val="center"/>
              <w:rPr>
                <w:rFonts w:hint="eastAsia" w:ascii="宋体" w:hAnsi="宋体" w:eastAsia="宋体" w:cs="宋体"/>
                <w:sz w:val="18"/>
                <w:szCs w:val="18"/>
              </w:rPr>
            </w:pPr>
            <w:r>
              <w:rPr>
                <w:rFonts w:hint="eastAsia" w:ascii="宋体" w:hAnsi="宋体" w:eastAsia="宋体" w:cs="宋体"/>
                <w:sz w:val="18"/>
                <w:szCs w:val="18"/>
              </w:rPr>
              <w:t>1</w:t>
            </w:r>
          </w:p>
        </w:tc>
        <w:tc>
          <w:tcPr>
            <w:tcW w:w="686" w:type="dxa"/>
            <w:vMerge w:val="continue"/>
          </w:tcPr>
          <w:p w14:paraId="537C3AAA">
            <w:pPr>
              <w:pStyle w:val="5"/>
              <w:spacing w:line="240" w:lineRule="auto"/>
              <w:ind w:firstLine="0"/>
              <w:jc w:val="center"/>
              <w:rPr>
                <w:rFonts w:hint="eastAsia" w:ascii="宋体" w:hAnsi="宋体" w:cs="宋体"/>
                <w:b/>
                <w:sz w:val="18"/>
                <w:szCs w:val="18"/>
              </w:rPr>
            </w:pPr>
          </w:p>
        </w:tc>
      </w:tr>
      <w:tr w14:paraId="1060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326708A0">
            <w:pPr>
              <w:pStyle w:val="5"/>
              <w:spacing w:line="360" w:lineRule="exact"/>
              <w:ind w:firstLine="0"/>
              <w:rPr>
                <w:rFonts w:hint="eastAsia" w:ascii="宋体" w:hAnsi="宋体" w:cs="宋体"/>
                <w:b/>
                <w:sz w:val="18"/>
                <w:szCs w:val="18"/>
              </w:rPr>
            </w:pPr>
          </w:p>
        </w:tc>
        <w:tc>
          <w:tcPr>
            <w:tcW w:w="1092" w:type="dxa"/>
            <w:vAlign w:val="center"/>
          </w:tcPr>
          <w:p w14:paraId="35C2AE8E">
            <w:pPr>
              <w:jc w:val="center"/>
              <w:rPr>
                <w:rFonts w:hint="eastAsia" w:ascii="宋体" w:hAnsi="宋体" w:eastAsia="宋体" w:cs="宋体"/>
                <w:sz w:val="18"/>
                <w:szCs w:val="18"/>
              </w:rPr>
            </w:pPr>
            <w:r>
              <w:rPr>
                <w:rFonts w:hint="eastAsia" w:ascii="宋体" w:hAnsi="宋体" w:eastAsia="宋体" w:cs="宋体"/>
                <w:sz w:val="18"/>
                <w:szCs w:val="18"/>
              </w:rPr>
              <w:t>G21002</w:t>
            </w:r>
          </w:p>
        </w:tc>
        <w:tc>
          <w:tcPr>
            <w:tcW w:w="4443" w:type="dxa"/>
            <w:gridSpan w:val="5"/>
            <w:vAlign w:val="center"/>
          </w:tcPr>
          <w:p w14:paraId="08AF3B8E">
            <w:pPr>
              <w:jc w:val="left"/>
              <w:rPr>
                <w:rFonts w:hint="eastAsia" w:ascii="宋体" w:hAnsi="宋体" w:eastAsia="宋体" w:cs="宋体"/>
                <w:sz w:val="18"/>
                <w:szCs w:val="18"/>
              </w:rPr>
            </w:pPr>
            <w:r>
              <w:rPr>
                <w:rFonts w:hint="eastAsia" w:ascii="宋体" w:hAnsi="宋体" w:eastAsia="宋体" w:cs="宋体"/>
                <w:sz w:val="18"/>
                <w:szCs w:val="18"/>
              </w:rPr>
              <w:t>羽毛球</w:t>
            </w:r>
          </w:p>
          <w:p w14:paraId="458C7261">
            <w:pPr>
              <w:jc w:val="left"/>
              <w:rPr>
                <w:rFonts w:hint="eastAsia" w:ascii="宋体" w:hAnsi="宋体" w:eastAsia="宋体" w:cs="宋体"/>
                <w:sz w:val="18"/>
                <w:szCs w:val="18"/>
              </w:rPr>
            </w:pPr>
            <w:r>
              <w:rPr>
                <w:rFonts w:hint="eastAsia" w:ascii="Times New Roman" w:hAnsi="Times New Roman" w:eastAsia="宋体" w:cs="Times New Roman"/>
                <w:sz w:val="18"/>
                <w:szCs w:val="18"/>
              </w:rPr>
              <w:t>Badminton</w:t>
            </w:r>
          </w:p>
        </w:tc>
        <w:tc>
          <w:tcPr>
            <w:tcW w:w="558" w:type="dxa"/>
            <w:vAlign w:val="center"/>
          </w:tcPr>
          <w:p w14:paraId="380CCB21">
            <w:pPr>
              <w:jc w:val="center"/>
              <w:rPr>
                <w:rFonts w:hint="eastAsia" w:ascii="宋体" w:hAnsi="宋体" w:eastAsia="宋体" w:cs="宋体"/>
                <w:sz w:val="18"/>
                <w:szCs w:val="18"/>
              </w:rPr>
            </w:pPr>
            <w:r>
              <w:rPr>
                <w:rFonts w:hint="eastAsia" w:ascii="宋体" w:hAnsi="宋体" w:eastAsia="宋体" w:cs="宋体"/>
                <w:sz w:val="18"/>
                <w:szCs w:val="18"/>
              </w:rPr>
              <w:t>1</w:t>
            </w:r>
          </w:p>
        </w:tc>
        <w:tc>
          <w:tcPr>
            <w:tcW w:w="558" w:type="dxa"/>
            <w:vAlign w:val="center"/>
          </w:tcPr>
          <w:p w14:paraId="5DD98D4C">
            <w:pPr>
              <w:jc w:val="center"/>
              <w:rPr>
                <w:rFonts w:hint="eastAsia" w:ascii="宋体" w:hAnsi="宋体" w:eastAsia="宋体" w:cs="宋体"/>
                <w:sz w:val="18"/>
                <w:szCs w:val="18"/>
              </w:rPr>
            </w:pPr>
            <w:r>
              <w:rPr>
                <w:rFonts w:hint="eastAsia" w:ascii="宋体" w:hAnsi="宋体" w:eastAsia="宋体" w:cs="宋体"/>
                <w:sz w:val="18"/>
                <w:szCs w:val="18"/>
              </w:rPr>
              <w:t>2</w:t>
            </w:r>
          </w:p>
        </w:tc>
        <w:tc>
          <w:tcPr>
            <w:tcW w:w="686" w:type="dxa"/>
            <w:vMerge w:val="continue"/>
          </w:tcPr>
          <w:p w14:paraId="7E0E946B">
            <w:pPr>
              <w:pStyle w:val="5"/>
              <w:spacing w:line="240" w:lineRule="auto"/>
              <w:ind w:firstLine="0"/>
              <w:jc w:val="center"/>
              <w:rPr>
                <w:rFonts w:hint="eastAsia" w:ascii="宋体" w:hAnsi="宋体" w:cs="宋体"/>
                <w:b/>
                <w:sz w:val="18"/>
                <w:szCs w:val="18"/>
              </w:rPr>
            </w:pPr>
          </w:p>
        </w:tc>
      </w:tr>
      <w:tr w14:paraId="7742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6974E894">
            <w:pPr>
              <w:pStyle w:val="5"/>
              <w:spacing w:line="360" w:lineRule="exact"/>
              <w:ind w:firstLine="0"/>
              <w:rPr>
                <w:rFonts w:hint="eastAsia" w:ascii="宋体" w:hAnsi="宋体" w:cs="宋体"/>
                <w:b/>
                <w:sz w:val="18"/>
                <w:szCs w:val="18"/>
              </w:rPr>
            </w:pPr>
          </w:p>
        </w:tc>
        <w:tc>
          <w:tcPr>
            <w:tcW w:w="1092" w:type="dxa"/>
            <w:vAlign w:val="center"/>
          </w:tcPr>
          <w:p w14:paraId="450B74B2">
            <w:pPr>
              <w:jc w:val="center"/>
              <w:rPr>
                <w:rFonts w:hint="eastAsia" w:ascii="宋体" w:hAnsi="宋体" w:eastAsia="宋体" w:cs="宋体"/>
                <w:sz w:val="18"/>
                <w:szCs w:val="18"/>
              </w:rPr>
            </w:pPr>
            <w:r>
              <w:rPr>
                <w:rFonts w:hint="eastAsia" w:ascii="宋体" w:hAnsi="宋体" w:eastAsia="宋体" w:cs="宋体"/>
                <w:sz w:val="18"/>
                <w:szCs w:val="18"/>
              </w:rPr>
              <w:t>G21003</w:t>
            </w:r>
          </w:p>
        </w:tc>
        <w:tc>
          <w:tcPr>
            <w:tcW w:w="4443" w:type="dxa"/>
            <w:gridSpan w:val="5"/>
            <w:vAlign w:val="center"/>
          </w:tcPr>
          <w:p w14:paraId="63889EF6">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瑜伽</w:t>
            </w:r>
          </w:p>
          <w:p w14:paraId="0B473C74">
            <w:pPr>
              <w:jc w:val="left"/>
              <w:rPr>
                <w:rFonts w:hint="eastAsia" w:ascii="宋体" w:hAnsi="宋体" w:eastAsia="宋体" w:cs="宋体"/>
                <w:sz w:val="18"/>
                <w:szCs w:val="18"/>
              </w:rPr>
            </w:pPr>
            <w:r>
              <w:rPr>
                <w:rFonts w:hint="eastAsia" w:ascii="Times New Roman" w:hAnsi="Times New Roman" w:eastAsia="宋体" w:cs="Times New Roman"/>
                <w:sz w:val="18"/>
                <w:szCs w:val="18"/>
              </w:rPr>
              <w:t>Yoga</w:t>
            </w:r>
          </w:p>
        </w:tc>
        <w:tc>
          <w:tcPr>
            <w:tcW w:w="558" w:type="dxa"/>
            <w:vAlign w:val="center"/>
          </w:tcPr>
          <w:p w14:paraId="46E6F5FF">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257818E5">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0B5FDA31">
            <w:pPr>
              <w:pStyle w:val="5"/>
              <w:spacing w:line="240" w:lineRule="auto"/>
              <w:ind w:firstLine="0"/>
              <w:jc w:val="center"/>
              <w:rPr>
                <w:rFonts w:hint="eastAsia" w:ascii="宋体" w:hAnsi="宋体" w:cs="宋体"/>
                <w:b/>
                <w:sz w:val="18"/>
                <w:szCs w:val="18"/>
              </w:rPr>
            </w:pPr>
          </w:p>
        </w:tc>
      </w:tr>
      <w:tr w14:paraId="7B1B1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453DE70F">
            <w:pPr>
              <w:pStyle w:val="5"/>
              <w:spacing w:line="360" w:lineRule="exact"/>
              <w:ind w:firstLine="0"/>
              <w:rPr>
                <w:rFonts w:hint="eastAsia" w:ascii="宋体" w:hAnsi="宋体" w:cs="宋体"/>
                <w:b/>
                <w:sz w:val="18"/>
                <w:szCs w:val="18"/>
              </w:rPr>
            </w:pPr>
          </w:p>
        </w:tc>
        <w:tc>
          <w:tcPr>
            <w:tcW w:w="1092" w:type="dxa"/>
            <w:vAlign w:val="center"/>
          </w:tcPr>
          <w:p w14:paraId="72D5F2E7">
            <w:pPr>
              <w:jc w:val="center"/>
              <w:rPr>
                <w:rFonts w:hint="eastAsia" w:ascii="宋体" w:hAnsi="宋体" w:eastAsia="宋体" w:cs="宋体"/>
                <w:sz w:val="18"/>
                <w:szCs w:val="18"/>
              </w:rPr>
            </w:pPr>
            <w:r>
              <w:rPr>
                <w:rFonts w:hint="eastAsia" w:ascii="宋体" w:hAnsi="宋体" w:eastAsia="宋体" w:cs="宋体"/>
                <w:sz w:val="18"/>
                <w:szCs w:val="18"/>
              </w:rPr>
              <w:t>G20002</w:t>
            </w:r>
          </w:p>
        </w:tc>
        <w:tc>
          <w:tcPr>
            <w:tcW w:w="4443" w:type="dxa"/>
            <w:gridSpan w:val="5"/>
            <w:vAlign w:val="center"/>
          </w:tcPr>
          <w:p w14:paraId="14D47A90">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舞蹈形体训练</w:t>
            </w:r>
          </w:p>
          <w:p w14:paraId="366E967E">
            <w:pPr>
              <w:jc w:val="left"/>
              <w:rPr>
                <w:rFonts w:hint="eastAsia" w:ascii="宋体" w:hAnsi="宋体" w:eastAsia="宋体" w:cs="宋体"/>
                <w:sz w:val="18"/>
                <w:szCs w:val="18"/>
              </w:rPr>
            </w:pPr>
            <w:r>
              <w:rPr>
                <w:rFonts w:hint="eastAsia" w:ascii="Times New Roman" w:hAnsi="Times New Roman" w:eastAsia="宋体" w:cs="Times New Roman"/>
                <w:sz w:val="18"/>
                <w:szCs w:val="18"/>
              </w:rPr>
              <w:t>Physical Training</w:t>
            </w:r>
          </w:p>
        </w:tc>
        <w:tc>
          <w:tcPr>
            <w:tcW w:w="558" w:type="dxa"/>
            <w:vAlign w:val="center"/>
          </w:tcPr>
          <w:p w14:paraId="4B9031BF">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75D13B49">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76DC439F">
            <w:pPr>
              <w:pStyle w:val="5"/>
              <w:spacing w:line="240" w:lineRule="auto"/>
              <w:ind w:firstLine="0"/>
              <w:jc w:val="center"/>
              <w:rPr>
                <w:rFonts w:hint="eastAsia" w:ascii="宋体" w:hAnsi="宋体" w:cs="宋体"/>
                <w:b/>
                <w:sz w:val="18"/>
                <w:szCs w:val="18"/>
              </w:rPr>
            </w:pPr>
          </w:p>
        </w:tc>
      </w:tr>
      <w:tr w14:paraId="686DD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5A692D34">
            <w:pPr>
              <w:pStyle w:val="5"/>
              <w:spacing w:line="360" w:lineRule="exact"/>
              <w:ind w:firstLine="0"/>
              <w:rPr>
                <w:rFonts w:hint="eastAsia" w:ascii="宋体" w:hAnsi="宋体" w:cs="宋体"/>
                <w:b/>
                <w:sz w:val="18"/>
                <w:szCs w:val="18"/>
              </w:rPr>
            </w:pPr>
          </w:p>
        </w:tc>
        <w:tc>
          <w:tcPr>
            <w:tcW w:w="1092" w:type="dxa"/>
            <w:vAlign w:val="center"/>
          </w:tcPr>
          <w:p w14:paraId="0FF80620">
            <w:pPr>
              <w:jc w:val="center"/>
              <w:rPr>
                <w:rFonts w:hint="eastAsia" w:ascii="宋体" w:hAnsi="宋体" w:eastAsia="宋体" w:cs="宋体"/>
                <w:sz w:val="18"/>
                <w:szCs w:val="18"/>
              </w:rPr>
            </w:pPr>
            <w:r>
              <w:rPr>
                <w:rFonts w:hint="eastAsia" w:ascii="宋体" w:hAnsi="宋体" w:eastAsia="宋体" w:cs="宋体"/>
                <w:sz w:val="18"/>
                <w:szCs w:val="18"/>
              </w:rPr>
              <w:t>G20004</w:t>
            </w:r>
          </w:p>
        </w:tc>
        <w:tc>
          <w:tcPr>
            <w:tcW w:w="4443" w:type="dxa"/>
            <w:gridSpan w:val="5"/>
            <w:vAlign w:val="center"/>
          </w:tcPr>
          <w:p w14:paraId="390FB21F">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钢琴演奏基础十六课</w:t>
            </w:r>
          </w:p>
          <w:p w14:paraId="2A312774">
            <w:pPr>
              <w:jc w:val="left"/>
              <w:rPr>
                <w:rFonts w:hint="eastAsia" w:ascii="宋体" w:hAnsi="宋体" w:eastAsia="宋体" w:cs="宋体"/>
                <w:sz w:val="18"/>
                <w:szCs w:val="18"/>
              </w:rPr>
            </w:pPr>
            <w:r>
              <w:rPr>
                <w:rFonts w:hint="eastAsia" w:ascii="Times New Roman" w:hAnsi="Times New Roman" w:eastAsia="宋体" w:cs="Times New Roman"/>
                <w:sz w:val="18"/>
                <w:szCs w:val="18"/>
              </w:rPr>
              <w:t>Sixteen Lessons in Piano Performance</w:t>
            </w:r>
          </w:p>
        </w:tc>
        <w:tc>
          <w:tcPr>
            <w:tcW w:w="558" w:type="dxa"/>
            <w:vAlign w:val="center"/>
          </w:tcPr>
          <w:p w14:paraId="3AC35EF7">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741EEAB1">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611E74A5">
            <w:pPr>
              <w:pStyle w:val="5"/>
              <w:spacing w:line="240" w:lineRule="auto"/>
              <w:ind w:firstLine="0"/>
              <w:jc w:val="center"/>
              <w:rPr>
                <w:rFonts w:hint="eastAsia" w:ascii="宋体" w:hAnsi="宋体" w:cs="宋体"/>
                <w:b/>
                <w:sz w:val="18"/>
                <w:szCs w:val="18"/>
              </w:rPr>
            </w:pPr>
          </w:p>
        </w:tc>
      </w:tr>
      <w:tr w14:paraId="4491B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57F619E0">
            <w:pPr>
              <w:pStyle w:val="5"/>
              <w:spacing w:line="360" w:lineRule="exact"/>
              <w:ind w:firstLine="0"/>
              <w:rPr>
                <w:rFonts w:hint="eastAsia" w:ascii="宋体" w:hAnsi="宋体" w:cs="宋体"/>
                <w:b/>
                <w:sz w:val="18"/>
                <w:szCs w:val="18"/>
              </w:rPr>
            </w:pPr>
          </w:p>
        </w:tc>
        <w:tc>
          <w:tcPr>
            <w:tcW w:w="1092" w:type="dxa"/>
            <w:vAlign w:val="center"/>
          </w:tcPr>
          <w:p w14:paraId="174B7C2C">
            <w:pPr>
              <w:jc w:val="center"/>
              <w:rPr>
                <w:rFonts w:hint="eastAsia" w:ascii="宋体" w:hAnsi="宋体" w:eastAsia="宋体" w:cs="宋体"/>
                <w:sz w:val="18"/>
                <w:szCs w:val="18"/>
              </w:rPr>
            </w:pPr>
            <w:r>
              <w:rPr>
                <w:rFonts w:hint="eastAsia" w:ascii="宋体" w:hAnsi="宋体" w:eastAsia="宋体" w:cs="宋体"/>
                <w:sz w:val="18"/>
                <w:szCs w:val="18"/>
              </w:rPr>
              <w:t>G19002</w:t>
            </w:r>
          </w:p>
        </w:tc>
        <w:tc>
          <w:tcPr>
            <w:tcW w:w="4443" w:type="dxa"/>
            <w:gridSpan w:val="5"/>
            <w:vAlign w:val="center"/>
          </w:tcPr>
          <w:p w14:paraId="45E756A3">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美术鉴赏</w:t>
            </w:r>
          </w:p>
          <w:p w14:paraId="56F37CF6">
            <w:pPr>
              <w:jc w:val="left"/>
              <w:rPr>
                <w:rFonts w:hint="eastAsia" w:ascii="宋体" w:hAnsi="宋体" w:eastAsia="宋体" w:cs="宋体"/>
                <w:sz w:val="18"/>
                <w:szCs w:val="18"/>
              </w:rPr>
            </w:pPr>
            <w:r>
              <w:rPr>
                <w:rFonts w:hint="eastAsia" w:ascii="Times New Roman" w:hAnsi="Times New Roman" w:eastAsia="宋体" w:cs="Times New Roman"/>
                <w:sz w:val="18"/>
                <w:szCs w:val="18"/>
              </w:rPr>
              <w:t>Art Appreciation</w:t>
            </w:r>
          </w:p>
        </w:tc>
        <w:tc>
          <w:tcPr>
            <w:tcW w:w="558" w:type="dxa"/>
            <w:vAlign w:val="center"/>
          </w:tcPr>
          <w:p w14:paraId="560DC9B9">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6A00AEAC">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3739EEFA">
            <w:pPr>
              <w:pStyle w:val="5"/>
              <w:spacing w:line="240" w:lineRule="auto"/>
              <w:ind w:firstLine="0"/>
              <w:jc w:val="center"/>
              <w:rPr>
                <w:rFonts w:hint="eastAsia" w:ascii="宋体" w:hAnsi="宋体" w:cs="宋体"/>
                <w:b/>
                <w:sz w:val="18"/>
                <w:szCs w:val="18"/>
              </w:rPr>
            </w:pPr>
          </w:p>
        </w:tc>
      </w:tr>
      <w:tr w14:paraId="00E80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2020" w:type="dxa"/>
            <w:gridSpan w:val="3"/>
            <w:vMerge w:val="continue"/>
          </w:tcPr>
          <w:p w14:paraId="24E43112">
            <w:pPr>
              <w:pStyle w:val="5"/>
              <w:spacing w:line="360" w:lineRule="exact"/>
              <w:ind w:firstLine="0"/>
              <w:rPr>
                <w:rFonts w:hint="eastAsia" w:ascii="宋体" w:hAnsi="宋体" w:cs="宋体"/>
                <w:b/>
                <w:sz w:val="18"/>
                <w:szCs w:val="18"/>
              </w:rPr>
            </w:pPr>
          </w:p>
        </w:tc>
        <w:tc>
          <w:tcPr>
            <w:tcW w:w="1092" w:type="dxa"/>
            <w:vAlign w:val="center"/>
          </w:tcPr>
          <w:p w14:paraId="613B55EE">
            <w:pPr>
              <w:jc w:val="center"/>
              <w:rPr>
                <w:rFonts w:hint="eastAsia" w:ascii="宋体" w:hAnsi="宋体" w:eastAsia="宋体" w:cs="宋体"/>
                <w:sz w:val="18"/>
                <w:szCs w:val="18"/>
              </w:rPr>
            </w:pPr>
            <w:r>
              <w:rPr>
                <w:rFonts w:hint="eastAsia" w:ascii="宋体" w:hAnsi="宋体" w:eastAsia="宋体" w:cs="宋体"/>
                <w:sz w:val="18"/>
                <w:szCs w:val="18"/>
              </w:rPr>
              <w:t>G19004</w:t>
            </w:r>
          </w:p>
        </w:tc>
        <w:tc>
          <w:tcPr>
            <w:tcW w:w="4443" w:type="dxa"/>
            <w:gridSpan w:val="5"/>
            <w:vAlign w:val="center"/>
          </w:tcPr>
          <w:p w14:paraId="3C5C75DC">
            <w:pPr>
              <w:jc w:val="left"/>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中西美术比较</w:t>
            </w:r>
          </w:p>
          <w:p w14:paraId="42225010">
            <w:pPr>
              <w:jc w:val="left"/>
              <w:rPr>
                <w:rFonts w:hint="eastAsia" w:ascii="宋体" w:hAnsi="宋体" w:eastAsia="宋体" w:cs="宋体"/>
                <w:sz w:val="18"/>
                <w:szCs w:val="18"/>
              </w:rPr>
            </w:pPr>
            <w:r>
              <w:rPr>
                <w:rFonts w:hint="eastAsia" w:ascii="Times New Roman" w:hAnsi="Times New Roman" w:eastAsia="宋体" w:cs="Times New Roman"/>
                <w:sz w:val="18"/>
                <w:szCs w:val="18"/>
              </w:rPr>
              <w:t>A Comparative Study of Chinese and Western Fine Arts</w:t>
            </w:r>
          </w:p>
        </w:tc>
        <w:tc>
          <w:tcPr>
            <w:tcW w:w="558" w:type="dxa"/>
            <w:vAlign w:val="center"/>
          </w:tcPr>
          <w:p w14:paraId="3966592B">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1</w:t>
            </w:r>
          </w:p>
        </w:tc>
        <w:tc>
          <w:tcPr>
            <w:tcW w:w="558" w:type="dxa"/>
            <w:vAlign w:val="center"/>
          </w:tcPr>
          <w:p w14:paraId="26779AEB">
            <w:pPr>
              <w:jc w:val="center"/>
              <w:rPr>
                <w:rFonts w:hint="eastAsia" w:ascii="宋体" w:hAnsi="宋体" w:eastAsia="宋体" w:cs="宋体"/>
                <w:sz w:val="18"/>
                <w:szCs w:val="18"/>
              </w:rPr>
            </w:pPr>
            <w:r>
              <w:rPr>
                <w:rFonts w:hint="eastAsia" w:ascii="宋体" w:hAnsi="宋体" w:eastAsia="宋体" w:cs="宋体"/>
                <w:color w:val="000000" w:themeColor="text1"/>
                <w:sz w:val="18"/>
                <w:szCs w:val="18"/>
                <w14:textFill>
                  <w14:solidFill>
                    <w14:schemeClr w14:val="tx1"/>
                  </w14:solidFill>
                </w14:textFill>
              </w:rPr>
              <w:t>2</w:t>
            </w:r>
          </w:p>
        </w:tc>
        <w:tc>
          <w:tcPr>
            <w:tcW w:w="686" w:type="dxa"/>
            <w:vMerge w:val="continue"/>
          </w:tcPr>
          <w:p w14:paraId="557EEA1C">
            <w:pPr>
              <w:pStyle w:val="5"/>
              <w:spacing w:line="240" w:lineRule="auto"/>
              <w:ind w:firstLine="0"/>
              <w:jc w:val="center"/>
              <w:rPr>
                <w:rFonts w:hint="eastAsia" w:ascii="宋体" w:hAnsi="宋体" w:cs="宋体"/>
                <w:b/>
                <w:sz w:val="18"/>
                <w:szCs w:val="18"/>
              </w:rPr>
            </w:pPr>
          </w:p>
        </w:tc>
      </w:tr>
      <w:tr w14:paraId="46598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2020" w:type="dxa"/>
            <w:gridSpan w:val="3"/>
            <w:vMerge w:val="restart"/>
            <w:vAlign w:val="center"/>
          </w:tcPr>
          <w:p w14:paraId="61125EE6">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补修课程</w:t>
            </w:r>
          </w:p>
          <w:p w14:paraId="18CF87BB">
            <w:pPr>
              <w:pStyle w:val="5"/>
              <w:spacing w:line="360" w:lineRule="exact"/>
              <w:ind w:firstLine="0"/>
              <w:jc w:val="center"/>
              <w:rPr>
                <w:rFonts w:hint="eastAsia" w:ascii="宋体" w:hAnsi="宋体" w:cs="宋体"/>
                <w:sz w:val="18"/>
                <w:szCs w:val="18"/>
              </w:rPr>
            </w:pPr>
            <w:r>
              <w:rPr>
                <w:rFonts w:hint="eastAsia" w:ascii="宋体" w:hAnsi="宋体" w:cs="宋体"/>
                <w:sz w:val="18"/>
                <w:szCs w:val="18"/>
              </w:rPr>
              <w:t>（不计学分）</w:t>
            </w:r>
          </w:p>
        </w:tc>
        <w:tc>
          <w:tcPr>
            <w:tcW w:w="1092" w:type="dxa"/>
            <w:vAlign w:val="center"/>
          </w:tcPr>
          <w:p w14:paraId="6C96DEA2">
            <w:pPr>
              <w:pStyle w:val="5"/>
              <w:spacing w:line="240" w:lineRule="auto"/>
              <w:ind w:firstLine="0"/>
              <w:jc w:val="center"/>
              <w:rPr>
                <w:rFonts w:hint="eastAsia" w:ascii="宋体" w:hAnsi="宋体" w:cs="宋体"/>
                <w:b/>
                <w:sz w:val="18"/>
                <w:szCs w:val="18"/>
              </w:rPr>
            </w:pPr>
          </w:p>
        </w:tc>
        <w:tc>
          <w:tcPr>
            <w:tcW w:w="4443" w:type="dxa"/>
            <w:gridSpan w:val="5"/>
            <w:vAlign w:val="center"/>
          </w:tcPr>
          <w:p w14:paraId="72E7D48D">
            <w:pPr>
              <w:pStyle w:val="5"/>
              <w:spacing w:line="240" w:lineRule="auto"/>
              <w:ind w:firstLine="0"/>
              <w:rPr>
                <w:rFonts w:hint="eastAsia" w:ascii="宋体" w:hAnsi="宋体" w:cs="宋体"/>
                <w:sz w:val="18"/>
                <w:szCs w:val="18"/>
              </w:rPr>
            </w:pPr>
            <w:r>
              <w:rPr>
                <w:rFonts w:hint="eastAsia" w:ascii="宋体" w:hAnsi="宋体" w:cs="宋体"/>
                <w:sz w:val="18"/>
                <w:szCs w:val="18"/>
              </w:rPr>
              <w:t>导师指定补修课程1</w:t>
            </w:r>
          </w:p>
        </w:tc>
        <w:tc>
          <w:tcPr>
            <w:tcW w:w="558" w:type="dxa"/>
            <w:vAlign w:val="center"/>
          </w:tcPr>
          <w:p w14:paraId="42D20E0C">
            <w:pPr>
              <w:pStyle w:val="5"/>
              <w:spacing w:line="240" w:lineRule="auto"/>
              <w:ind w:firstLine="0"/>
              <w:jc w:val="center"/>
              <w:rPr>
                <w:rFonts w:hint="eastAsia" w:ascii="宋体" w:hAnsi="宋体" w:cs="宋体"/>
                <w:b/>
                <w:sz w:val="18"/>
                <w:szCs w:val="18"/>
              </w:rPr>
            </w:pPr>
          </w:p>
        </w:tc>
        <w:tc>
          <w:tcPr>
            <w:tcW w:w="558" w:type="dxa"/>
            <w:vAlign w:val="center"/>
          </w:tcPr>
          <w:p w14:paraId="0F71C0B3">
            <w:pPr>
              <w:pStyle w:val="5"/>
              <w:spacing w:line="240" w:lineRule="auto"/>
              <w:ind w:firstLine="0"/>
              <w:jc w:val="center"/>
              <w:rPr>
                <w:rFonts w:hint="eastAsia" w:ascii="宋体" w:hAnsi="宋体" w:cs="宋体"/>
                <w:b/>
                <w:sz w:val="18"/>
                <w:szCs w:val="18"/>
              </w:rPr>
            </w:pPr>
          </w:p>
        </w:tc>
        <w:tc>
          <w:tcPr>
            <w:tcW w:w="686" w:type="dxa"/>
            <w:vMerge w:val="restart"/>
            <w:vAlign w:val="center"/>
          </w:tcPr>
          <w:p w14:paraId="19FA3A71">
            <w:pPr>
              <w:pStyle w:val="5"/>
              <w:spacing w:line="240" w:lineRule="auto"/>
              <w:ind w:firstLine="0"/>
              <w:jc w:val="center"/>
              <w:rPr>
                <w:rFonts w:hint="eastAsia" w:ascii="宋体" w:hAnsi="宋体" w:cs="宋体"/>
                <w:sz w:val="18"/>
                <w:szCs w:val="18"/>
              </w:rPr>
            </w:pPr>
            <w:r>
              <w:rPr>
                <w:rFonts w:hint="eastAsia" w:ascii="宋体" w:hAnsi="宋体" w:cs="宋体"/>
                <w:sz w:val="18"/>
                <w:szCs w:val="18"/>
              </w:rPr>
              <w:t>导师</w:t>
            </w:r>
          </w:p>
          <w:p w14:paraId="2FA0C95C">
            <w:pPr>
              <w:pStyle w:val="5"/>
              <w:spacing w:line="240" w:lineRule="auto"/>
              <w:ind w:firstLine="0"/>
              <w:jc w:val="center"/>
              <w:rPr>
                <w:rFonts w:hint="eastAsia" w:ascii="宋体" w:hAnsi="宋体" w:cs="宋体"/>
                <w:sz w:val="18"/>
                <w:szCs w:val="18"/>
              </w:rPr>
            </w:pPr>
            <w:r>
              <w:rPr>
                <w:rFonts w:hint="eastAsia" w:ascii="宋体" w:hAnsi="宋体" w:cs="宋体"/>
                <w:sz w:val="18"/>
                <w:szCs w:val="18"/>
              </w:rPr>
              <w:t>确定</w:t>
            </w:r>
          </w:p>
        </w:tc>
      </w:tr>
      <w:tr w14:paraId="1880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2020" w:type="dxa"/>
            <w:gridSpan w:val="3"/>
            <w:vMerge w:val="continue"/>
          </w:tcPr>
          <w:p w14:paraId="7479F379">
            <w:pPr>
              <w:pStyle w:val="5"/>
              <w:spacing w:line="360" w:lineRule="exact"/>
              <w:ind w:firstLine="0"/>
              <w:rPr>
                <w:rFonts w:hint="eastAsia" w:ascii="宋体" w:hAnsi="宋体" w:cs="宋体"/>
                <w:b/>
                <w:sz w:val="18"/>
                <w:szCs w:val="18"/>
              </w:rPr>
            </w:pPr>
          </w:p>
        </w:tc>
        <w:tc>
          <w:tcPr>
            <w:tcW w:w="1092" w:type="dxa"/>
            <w:vAlign w:val="center"/>
          </w:tcPr>
          <w:p w14:paraId="057E529C">
            <w:pPr>
              <w:pStyle w:val="5"/>
              <w:spacing w:line="360" w:lineRule="exact"/>
              <w:ind w:firstLine="0"/>
              <w:jc w:val="center"/>
              <w:rPr>
                <w:rFonts w:hint="eastAsia" w:ascii="宋体" w:hAnsi="宋体" w:cs="宋体"/>
                <w:b/>
                <w:sz w:val="18"/>
                <w:szCs w:val="18"/>
              </w:rPr>
            </w:pPr>
          </w:p>
        </w:tc>
        <w:tc>
          <w:tcPr>
            <w:tcW w:w="4443" w:type="dxa"/>
            <w:gridSpan w:val="5"/>
            <w:vAlign w:val="center"/>
          </w:tcPr>
          <w:p w14:paraId="5A33E2A4">
            <w:pPr>
              <w:pStyle w:val="5"/>
              <w:spacing w:line="360" w:lineRule="exact"/>
              <w:ind w:firstLine="0"/>
              <w:rPr>
                <w:rFonts w:hint="eastAsia" w:ascii="宋体" w:hAnsi="宋体" w:cs="宋体"/>
                <w:sz w:val="18"/>
                <w:szCs w:val="18"/>
              </w:rPr>
            </w:pPr>
            <w:r>
              <w:rPr>
                <w:rFonts w:hint="eastAsia" w:ascii="宋体" w:hAnsi="宋体" w:cs="宋体"/>
                <w:sz w:val="18"/>
                <w:szCs w:val="18"/>
              </w:rPr>
              <w:t>导师指定补修课程2</w:t>
            </w:r>
          </w:p>
        </w:tc>
        <w:tc>
          <w:tcPr>
            <w:tcW w:w="558" w:type="dxa"/>
            <w:vAlign w:val="center"/>
          </w:tcPr>
          <w:p w14:paraId="138AA1B8">
            <w:pPr>
              <w:pStyle w:val="5"/>
              <w:spacing w:line="360" w:lineRule="exact"/>
              <w:ind w:firstLine="0"/>
              <w:jc w:val="center"/>
              <w:rPr>
                <w:rFonts w:hint="eastAsia" w:ascii="宋体" w:hAnsi="宋体" w:cs="宋体"/>
                <w:b/>
                <w:sz w:val="18"/>
                <w:szCs w:val="18"/>
              </w:rPr>
            </w:pPr>
          </w:p>
        </w:tc>
        <w:tc>
          <w:tcPr>
            <w:tcW w:w="558" w:type="dxa"/>
            <w:vAlign w:val="center"/>
          </w:tcPr>
          <w:p w14:paraId="486AD826">
            <w:pPr>
              <w:pStyle w:val="5"/>
              <w:spacing w:line="360" w:lineRule="exact"/>
              <w:ind w:firstLine="0"/>
              <w:jc w:val="center"/>
              <w:rPr>
                <w:rFonts w:hint="eastAsia" w:ascii="宋体" w:hAnsi="宋体" w:cs="宋体"/>
                <w:b/>
                <w:sz w:val="18"/>
                <w:szCs w:val="18"/>
              </w:rPr>
            </w:pPr>
          </w:p>
        </w:tc>
        <w:tc>
          <w:tcPr>
            <w:tcW w:w="686" w:type="dxa"/>
            <w:vMerge w:val="continue"/>
          </w:tcPr>
          <w:p w14:paraId="45F30E82">
            <w:pPr>
              <w:pStyle w:val="5"/>
              <w:spacing w:line="360" w:lineRule="exact"/>
              <w:ind w:firstLine="0"/>
              <w:rPr>
                <w:rFonts w:hint="eastAsia" w:ascii="宋体" w:hAnsi="宋体" w:cs="宋体"/>
                <w:b/>
                <w:sz w:val="18"/>
                <w:szCs w:val="18"/>
              </w:rPr>
            </w:pPr>
          </w:p>
        </w:tc>
      </w:tr>
      <w:tr w14:paraId="29FD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357" w:type="dxa"/>
            <w:gridSpan w:val="12"/>
            <w:vAlign w:val="center"/>
          </w:tcPr>
          <w:p w14:paraId="12503493">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其他培养环节</w:t>
            </w:r>
            <w:r>
              <w:rPr>
                <w:rFonts w:hint="eastAsia" w:ascii="宋体" w:hAnsi="宋体" w:cs="宋体"/>
                <w:sz w:val="18"/>
                <w:szCs w:val="18"/>
              </w:rPr>
              <w:t>（10学分）</w:t>
            </w:r>
          </w:p>
        </w:tc>
      </w:tr>
      <w:tr w14:paraId="5860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561" w:type="dxa"/>
            <w:vAlign w:val="center"/>
          </w:tcPr>
          <w:p w14:paraId="026BA7EA">
            <w:pPr>
              <w:pStyle w:val="5"/>
              <w:spacing w:line="360" w:lineRule="exact"/>
              <w:ind w:firstLine="0"/>
              <w:jc w:val="center"/>
              <w:rPr>
                <w:rFonts w:hint="eastAsia" w:ascii="宋体" w:hAnsi="宋体" w:cs="宋体"/>
                <w:sz w:val="18"/>
                <w:szCs w:val="18"/>
              </w:rPr>
            </w:pPr>
            <w:r>
              <w:rPr>
                <w:rFonts w:hint="eastAsia" w:ascii="宋体" w:hAnsi="宋体" w:cs="宋体"/>
                <w:b/>
                <w:sz w:val="18"/>
                <w:szCs w:val="18"/>
              </w:rPr>
              <w:t>培养环节</w:t>
            </w:r>
          </w:p>
        </w:tc>
        <w:tc>
          <w:tcPr>
            <w:tcW w:w="7110" w:type="dxa"/>
            <w:gridSpan w:val="10"/>
            <w:vAlign w:val="center"/>
          </w:tcPr>
          <w:p w14:paraId="77156630">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相关内容及要求</w:t>
            </w:r>
          </w:p>
        </w:tc>
        <w:tc>
          <w:tcPr>
            <w:tcW w:w="686" w:type="dxa"/>
            <w:vAlign w:val="center"/>
          </w:tcPr>
          <w:p w14:paraId="0AFE49C3">
            <w:pPr>
              <w:pStyle w:val="5"/>
              <w:spacing w:line="360" w:lineRule="exact"/>
              <w:ind w:firstLine="0"/>
              <w:jc w:val="center"/>
              <w:rPr>
                <w:rFonts w:hint="eastAsia" w:ascii="宋体" w:hAnsi="宋体" w:cs="宋体"/>
                <w:b/>
                <w:sz w:val="18"/>
                <w:szCs w:val="18"/>
              </w:rPr>
            </w:pPr>
            <w:r>
              <w:rPr>
                <w:rFonts w:hint="eastAsia" w:ascii="宋体" w:hAnsi="宋体" w:cs="宋体"/>
                <w:b/>
                <w:sz w:val="18"/>
                <w:szCs w:val="18"/>
              </w:rPr>
              <w:t>学期</w:t>
            </w:r>
          </w:p>
        </w:tc>
      </w:tr>
      <w:tr w14:paraId="76AA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0663C80D">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开题报告</w:t>
            </w:r>
          </w:p>
          <w:p w14:paraId="3CFE4B80">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（1学分）</w:t>
            </w:r>
          </w:p>
        </w:tc>
        <w:tc>
          <w:tcPr>
            <w:tcW w:w="7110" w:type="dxa"/>
            <w:gridSpan w:val="10"/>
            <w:vAlign w:val="center"/>
          </w:tcPr>
          <w:p w14:paraId="02A350DC">
            <w:pPr>
              <w:jc w:val="left"/>
              <w:rPr>
                <w:rFonts w:hint="eastAsia" w:ascii="宋体" w:hAnsi="宋体" w:eastAsia="宋体" w:cs="宋体"/>
                <w:sz w:val="18"/>
                <w:szCs w:val="18"/>
              </w:rPr>
            </w:pPr>
            <w:r>
              <w:rPr>
                <w:rFonts w:hint="eastAsia" w:ascii="宋体" w:hAnsi="宋体" w:eastAsia="宋体" w:cs="宋体"/>
                <w:sz w:val="18"/>
                <w:szCs w:val="18"/>
              </w:rPr>
              <w:t>研究生在导师的指导下，通过文献查阅、学术调研，确定论文选题和研究内容，写出开题报告。通过预开题后，由本类别5人及以上专家组成的评审小组评审，提出修改意见，不通过者可在进行不少于一个月的修改后，重新提交开题报告，最晚不得晚于论文提交外审前一年。重新提交开题报告仍不通过者，终止培养。开题通过后即获得1学分。</w:t>
            </w:r>
          </w:p>
          <w:p w14:paraId="4E61B5DA">
            <w:pPr>
              <w:rPr>
                <w:rFonts w:hint="eastAsia" w:ascii="宋体" w:hAnsi="宋体" w:eastAsia="宋体" w:cs="宋体"/>
                <w:sz w:val="18"/>
                <w:szCs w:val="18"/>
              </w:rPr>
            </w:pPr>
            <w:r>
              <w:rPr>
                <w:rFonts w:ascii="Times New Roman" w:hAnsi="Times New Roman" w:eastAsia="宋体" w:cs="Times New Roman"/>
                <w:sz w:val="18"/>
                <w:szCs w:val="18"/>
              </w:rPr>
              <w:t>Under the guidance of their supervisor, graduate students determine the topic and research content of their thesis through literature review and academic research, and write an opening report. After passing the pre proposal, a review panel consisting of 5 or more experts in this category will provide revision suggestions. Those who do not pass the review can resubmit the proposal report after at least one month of revision, no later than one year before the paper is submitted for external review. Those who resubmit the proposal but still fail will have their training terminated. Upon passing the proposal, one credit will be awarded.</w:t>
            </w:r>
          </w:p>
        </w:tc>
        <w:tc>
          <w:tcPr>
            <w:tcW w:w="686" w:type="dxa"/>
            <w:vAlign w:val="center"/>
          </w:tcPr>
          <w:p w14:paraId="158A534D">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3</w:t>
            </w:r>
          </w:p>
        </w:tc>
      </w:tr>
      <w:tr w14:paraId="45C16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04F2DDE3">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中期筛选考核</w:t>
            </w:r>
          </w:p>
          <w:p w14:paraId="7437122C">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（1学分）</w:t>
            </w:r>
          </w:p>
        </w:tc>
        <w:tc>
          <w:tcPr>
            <w:tcW w:w="7110" w:type="dxa"/>
            <w:gridSpan w:val="10"/>
            <w:vAlign w:val="center"/>
          </w:tcPr>
          <w:p w14:paraId="7FC11179">
            <w:pPr>
              <w:jc w:val="left"/>
              <w:rPr>
                <w:rFonts w:hint="eastAsia" w:ascii="宋体" w:hAnsi="宋体" w:eastAsia="宋体" w:cs="宋体"/>
                <w:sz w:val="18"/>
                <w:szCs w:val="18"/>
              </w:rPr>
            </w:pPr>
            <w:r>
              <w:rPr>
                <w:rFonts w:hint="eastAsia" w:ascii="宋体" w:hAnsi="宋体" w:eastAsia="宋体" w:cs="宋体"/>
                <w:sz w:val="18"/>
                <w:szCs w:val="18"/>
              </w:rPr>
              <w:t>对研究生的</w:t>
            </w:r>
            <w:r>
              <w:rPr>
                <w:rFonts w:hint="eastAsia" w:ascii="宋体" w:hAnsi="宋体" w:eastAsia="宋体" w:cs="宋体"/>
                <w:kern w:val="0"/>
                <w:sz w:val="18"/>
                <w:szCs w:val="18"/>
              </w:rPr>
              <w:t>政治思想、道德品质、专业知识、科研创新、实践能力、</w:t>
            </w:r>
            <w:r>
              <w:rPr>
                <w:rFonts w:hint="eastAsia" w:ascii="宋体" w:hAnsi="宋体" w:eastAsia="宋体" w:cs="宋体"/>
                <w:sz w:val="18"/>
                <w:szCs w:val="18"/>
              </w:rPr>
              <w:t>综合素质及学位论文进展情况等进行考核，考核不合格的，按照学校相关规定处理。中期筛选考核通过后即获得1学分。</w:t>
            </w:r>
          </w:p>
          <w:p w14:paraId="2CC859F3">
            <w:pPr>
              <w:jc w:val="left"/>
              <w:rPr>
                <w:rFonts w:hint="eastAsia" w:ascii="宋体" w:hAnsi="宋体" w:eastAsia="宋体" w:cs="宋体"/>
                <w:sz w:val="18"/>
                <w:szCs w:val="18"/>
              </w:rPr>
            </w:pPr>
            <w:r>
              <w:rPr>
                <w:rFonts w:ascii="Times New Roman" w:hAnsi="Times New Roman" w:eastAsia="宋体" w:cs="Times New Roman"/>
                <w:sz w:val="18"/>
                <w:szCs w:val="18"/>
              </w:rPr>
              <w:t>Graduate students will be assessed for their political ideology, moral character, professional knowledge, scientific research and innovation, practical ability, comprehensive quality, and progress in their thesis. Those who fail the assessment will be dealt with in accordance with relevant school regulations. Upon passing the mid-term screening assessment, one credit will be awarded.</w:t>
            </w:r>
          </w:p>
        </w:tc>
        <w:tc>
          <w:tcPr>
            <w:tcW w:w="686" w:type="dxa"/>
            <w:vAlign w:val="center"/>
          </w:tcPr>
          <w:p w14:paraId="1D2F9705">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4</w:t>
            </w:r>
          </w:p>
        </w:tc>
      </w:tr>
      <w:tr w14:paraId="25703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27ED567E">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专业实践</w:t>
            </w:r>
          </w:p>
          <w:p w14:paraId="571BE382">
            <w:pPr>
              <w:spacing w:line="360" w:lineRule="exact"/>
              <w:jc w:val="center"/>
              <w:rPr>
                <w:rFonts w:hint="eastAsia" w:ascii="宋体" w:hAnsi="宋体" w:eastAsia="宋体" w:cs="宋体"/>
                <w:b/>
                <w:sz w:val="18"/>
                <w:szCs w:val="18"/>
              </w:rPr>
            </w:pPr>
            <w:r>
              <w:rPr>
                <w:rFonts w:hint="eastAsia" w:ascii="宋体" w:hAnsi="宋体" w:eastAsia="宋体" w:cs="宋体"/>
                <w:sz w:val="18"/>
                <w:szCs w:val="18"/>
              </w:rPr>
              <w:t>（6学分）</w:t>
            </w:r>
          </w:p>
        </w:tc>
        <w:tc>
          <w:tcPr>
            <w:tcW w:w="7110" w:type="dxa"/>
            <w:gridSpan w:val="10"/>
            <w:vAlign w:val="center"/>
          </w:tcPr>
          <w:p w14:paraId="63F3D3DB">
            <w:pPr>
              <w:jc w:val="left"/>
              <w:rPr>
                <w:rFonts w:hint="eastAsia" w:ascii="宋体" w:hAnsi="宋体" w:eastAsia="宋体" w:cs="宋体"/>
                <w:sz w:val="18"/>
                <w:szCs w:val="18"/>
              </w:rPr>
            </w:pPr>
            <w:r>
              <w:rPr>
                <w:rFonts w:hint="eastAsia" w:ascii="宋体" w:hAnsi="宋体" w:eastAsia="宋体" w:cs="宋体"/>
                <w:sz w:val="18"/>
                <w:szCs w:val="18"/>
              </w:rPr>
              <w:t>研究生要提交实践学习计划，实践结束后完成《山东理工大学研究生专业实践报告》。</w:t>
            </w:r>
          </w:p>
          <w:p w14:paraId="1C136C66">
            <w:pPr>
              <w:jc w:val="left"/>
              <w:rPr>
                <w:rFonts w:hint="eastAsia" w:ascii="宋体" w:hAnsi="宋体" w:eastAsia="宋体" w:cs="宋体"/>
                <w:sz w:val="18"/>
                <w:szCs w:val="18"/>
              </w:rPr>
            </w:pPr>
            <w:r>
              <w:rPr>
                <w:rFonts w:hint="eastAsia" w:ascii="宋体" w:hAnsi="宋体" w:eastAsia="宋体" w:cs="宋体"/>
                <w:sz w:val="18"/>
                <w:szCs w:val="18"/>
              </w:rPr>
              <w:t>研究生可以志愿者身份赴海外顶岗实习，在孔子学院、国外中小学等机构从事汉语教学和文化传播工作；或在国内各类学校及教育机构进行教学实习。研究生在专业实践结束后，应提交实践总结报告。专业实践考核由实习单位、学院实践教学指导考核小组共同进行。专业实践考核通过后即获得6学分。</w:t>
            </w:r>
          </w:p>
          <w:p w14:paraId="303257DA">
            <w:pPr>
              <w:rPr>
                <w:rFonts w:hint="eastAsia" w:ascii="宋体" w:hAnsi="宋体" w:eastAsia="宋体" w:cs="宋体"/>
                <w:sz w:val="18"/>
                <w:szCs w:val="18"/>
              </w:rPr>
            </w:pPr>
            <w:r>
              <w:rPr>
                <w:rFonts w:ascii="Times New Roman" w:hAnsi="Times New Roman" w:eastAsia="宋体" w:cs="Times New Roman"/>
                <w:sz w:val="18"/>
                <w:szCs w:val="18"/>
              </w:rPr>
              <w:t>Graduate students are required to submit a practical learning plan and complete the "Shandong University of Technology Graduate Professional Practice Report" after the practice is completed.</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Graduate students can volunteer to intern overseas and engage in Chinese language teaching and cultural dissemination work in institutions such as Confucius Institutes and foreign primary and secondary schools; Or conduct teaching internships in various schools and educational institutions in China. Graduate students should submit a practice summary report after completing their professional practice. The professional practice assessment is jointly conducted by the internship unit and the college's practical teaching guidance assessment team. After passing the professional practice assessment, 6 credits will be obtained.</w:t>
            </w:r>
          </w:p>
        </w:tc>
        <w:tc>
          <w:tcPr>
            <w:tcW w:w="686" w:type="dxa"/>
            <w:vAlign w:val="center"/>
          </w:tcPr>
          <w:p w14:paraId="16611506">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3-4</w:t>
            </w:r>
          </w:p>
        </w:tc>
      </w:tr>
      <w:tr w14:paraId="44E2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61" w:type="dxa"/>
            <w:vAlign w:val="center"/>
          </w:tcPr>
          <w:p w14:paraId="5E058B03">
            <w:pPr>
              <w:spacing w:line="360" w:lineRule="exact"/>
              <w:jc w:val="center"/>
              <w:rPr>
                <w:rFonts w:hint="eastAsia" w:ascii="宋体" w:hAnsi="宋体" w:eastAsia="宋体" w:cs="宋体"/>
                <w:b/>
                <w:sz w:val="18"/>
                <w:szCs w:val="18"/>
              </w:rPr>
            </w:pPr>
            <w:r>
              <w:rPr>
                <w:rFonts w:hint="eastAsia" w:ascii="宋体" w:hAnsi="宋体" w:eastAsia="宋体" w:cs="宋体"/>
                <w:b/>
                <w:sz w:val="18"/>
                <w:szCs w:val="18"/>
              </w:rPr>
              <w:t>创新创业</w:t>
            </w:r>
          </w:p>
          <w:p w14:paraId="15B2D5F9">
            <w:pPr>
              <w:spacing w:line="360" w:lineRule="exact"/>
              <w:jc w:val="center"/>
              <w:rPr>
                <w:rFonts w:hint="eastAsia" w:ascii="宋体" w:hAnsi="宋体" w:eastAsia="宋体" w:cs="宋体"/>
                <w:sz w:val="18"/>
                <w:szCs w:val="18"/>
              </w:rPr>
            </w:pPr>
            <w:r>
              <w:rPr>
                <w:rFonts w:hint="eastAsia" w:ascii="宋体" w:hAnsi="宋体" w:eastAsia="宋体" w:cs="宋体"/>
                <w:sz w:val="18"/>
                <w:szCs w:val="18"/>
              </w:rPr>
              <w:t>（2学分）</w:t>
            </w:r>
          </w:p>
        </w:tc>
        <w:tc>
          <w:tcPr>
            <w:tcW w:w="7110" w:type="dxa"/>
            <w:gridSpan w:val="10"/>
            <w:vAlign w:val="center"/>
          </w:tcPr>
          <w:p w14:paraId="08C769CF">
            <w:pPr>
              <w:rPr>
                <w:rFonts w:hint="eastAsia" w:ascii="宋体" w:hAnsi="宋体" w:eastAsia="宋体" w:cs="宋体"/>
                <w:sz w:val="18"/>
                <w:szCs w:val="18"/>
              </w:rPr>
            </w:pPr>
            <w:bookmarkStart w:id="3" w:name="OLE_LINK5"/>
            <w:r>
              <w:rPr>
                <w:rFonts w:hint="eastAsia" w:ascii="宋体" w:hAnsi="宋体" w:eastAsia="宋体" w:cs="宋体"/>
                <w:sz w:val="18"/>
                <w:szCs w:val="18"/>
              </w:rPr>
              <w:t>研究生可自由选择创新创业方式，符合以下任意一项条件的，记1学分：</w:t>
            </w:r>
          </w:p>
          <w:p w14:paraId="6532CE17">
            <w:pPr>
              <w:jc w:val="left"/>
              <w:rPr>
                <w:rFonts w:hint="eastAsia" w:ascii="宋体" w:hAnsi="宋体" w:eastAsia="宋体" w:cs="宋体"/>
                <w:sz w:val="18"/>
                <w:szCs w:val="18"/>
              </w:rPr>
            </w:pPr>
            <w:r>
              <w:rPr>
                <w:rFonts w:hint="eastAsia" w:ascii="宋体" w:hAnsi="宋体" w:eastAsia="宋体" w:cs="宋体"/>
                <w:sz w:val="18"/>
                <w:szCs w:val="18"/>
              </w:rPr>
              <w:t>（1）进行3个月的出国访学研修、汉语教学，或学术交流；</w:t>
            </w:r>
          </w:p>
          <w:p w14:paraId="6919226B">
            <w:pPr>
              <w:jc w:val="left"/>
              <w:rPr>
                <w:rFonts w:hint="eastAsia" w:ascii="宋体" w:hAnsi="宋体" w:eastAsia="宋体" w:cs="宋体"/>
                <w:sz w:val="18"/>
                <w:szCs w:val="18"/>
              </w:rPr>
            </w:pPr>
            <w:r>
              <w:rPr>
                <w:rFonts w:hint="eastAsia" w:ascii="宋体" w:hAnsi="宋体" w:eastAsia="宋体" w:cs="宋体"/>
                <w:sz w:val="18"/>
                <w:szCs w:val="18"/>
              </w:rPr>
              <w:t>（2）参加学术会议并宣读论文，或做公开学术报告2次；</w:t>
            </w:r>
          </w:p>
          <w:p w14:paraId="044A4974">
            <w:pPr>
              <w:jc w:val="left"/>
              <w:rPr>
                <w:rFonts w:hint="eastAsia" w:ascii="宋体" w:hAnsi="宋体" w:eastAsia="宋体" w:cs="宋体"/>
                <w:sz w:val="18"/>
                <w:szCs w:val="18"/>
              </w:rPr>
            </w:pPr>
            <w:r>
              <w:rPr>
                <w:rFonts w:hint="eastAsia" w:ascii="宋体" w:hAnsi="宋体" w:eastAsia="宋体" w:cs="宋体"/>
                <w:sz w:val="18"/>
                <w:szCs w:val="18"/>
              </w:rPr>
              <w:t>（3）参加省级以上的专业比赛、创意设计、创新创业竞赛等；</w:t>
            </w:r>
          </w:p>
          <w:p w14:paraId="30F08DCE">
            <w:pPr>
              <w:jc w:val="left"/>
              <w:rPr>
                <w:rFonts w:hint="eastAsia" w:ascii="宋体" w:hAnsi="宋体" w:eastAsia="宋体" w:cs="宋体"/>
                <w:sz w:val="18"/>
                <w:szCs w:val="18"/>
              </w:rPr>
            </w:pPr>
            <w:r>
              <w:rPr>
                <w:rFonts w:hint="eastAsia" w:ascii="宋体" w:hAnsi="宋体" w:eastAsia="宋体" w:cs="宋体"/>
                <w:sz w:val="18"/>
                <w:szCs w:val="18"/>
              </w:rPr>
              <w:t>（4）参加6次以上与本学科相关的学术/行业报告，并提交总结。</w:t>
            </w:r>
          </w:p>
          <w:p w14:paraId="177CE730">
            <w:pPr>
              <w:rPr>
                <w:rFonts w:hint="eastAsia" w:ascii="宋体" w:hAnsi="宋体" w:eastAsia="宋体" w:cs="宋体"/>
                <w:sz w:val="18"/>
                <w:szCs w:val="18"/>
              </w:rPr>
            </w:pPr>
            <w:r>
              <w:rPr>
                <w:rFonts w:hint="eastAsia" w:ascii="宋体" w:hAnsi="宋体" w:eastAsia="宋体" w:cs="宋体"/>
                <w:sz w:val="18"/>
                <w:szCs w:val="18"/>
              </w:rPr>
              <w:t>完成创新创业环节，考核合格即获得相应学分。</w:t>
            </w:r>
            <w:bookmarkEnd w:id="3"/>
          </w:p>
          <w:p w14:paraId="2DBDDDA0">
            <w:pPr>
              <w:rPr>
                <w:rFonts w:ascii="Times New Roman" w:hAnsi="Times New Roman" w:eastAsia="宋体" w:cs="Times New Roman"/>
                <w:sz w:val="18"/>
                <w:szCs w:val="18"/>
              </w:rPr>
            </w:pPr>
            <w:r>
              <w:rPr>
                <w:rFonts w:ascii="Times New Roman" w:hAnsi="Times New Roman" w:eastAsia="宋体" w:cs="Times New Roman"/>
                <w:sz w:val="18"/>
                <w:szCs w:val="18"/>
              </w:rPr>
              <w:t>Graduate students are free to choose their innovation and entrepreneurship methods. Those who meet any of the following conditions will be awarded 1 credit:</w:t>
            </w:r>
          </w:p>
          <w:p w14:paraId="67EC1E03">
            <w:pPr>
              <w:rPr>
                <w:rFonts w:ascii="Times New Roman" w:hAnsi="Times New Roman" w:eastAsia="宋体" w:cs="Times New Roman"/>
                <w:sz w:val="18"/>
                <w:szCs w:val="18"/>
              </w:rPr>
            </w:pPr>
            <w:r>
              <w:rPr>
                <w:rFonts w:ascii="Times New Roman" w:hAnsi="Times New Roman" w:eastAsia="宋体" w:cs="Times New Roman"/>
                <w:sz w:val="18"/>
                <w:szCs w:val="18"/>
              </w:rPr>
              <w:t>(1) Conduct a 3-month study abroad program, Chinese language teaching, or academic exchange;</w:t>
            </w:r>
          </w:p>
          <w:p w14:paraId="68483F97">
            <w:pPr>
              <w:rPr>
                <w:rFonts w:ascii="Times New Roman" w:hAnsi="Times New Roman" w:eastAsia="宋体" w:cs="Times New Roman"/>
                <w:sz w:val="18"/>
                <w:szCs w:val="18"/>
              </w:rPr>
            </w:pPr>
            <w:r>
              <w:rPr>
                <w:rFonts w:ascii="Times New Roman" w:hAnsi="Times New Roman" w:eastAsia="宋体" w:cs="Times New Roman"/>
                <w:sz w:val="18"/>
                <w:szCs w:val="18"/>
              </w:rPr>
              <w:t>(2) Attend academic conferences and read papers, or give two public academic presentations;</w:t>
            </w:r>
          </w:p>
          <w:p w14:paraId="36BC7047">
            <w:pPr>
              <w:rPr>
                <w:rFonts w:ascii="Times New Roman" w:hAnsi="Times New Roman" w:eastAsia="宋体" w:cs="Times New Roman"/>
                <w:sz w:val="18"/>
                <w:szCs w:val="18"/>
              </w:rPr>
            </w:pPr>
            <w:r>
              <w:rPr>
                <w:rFonts w:ascii="Times New Roman" w:hAnsi="Times New Roman" w:eastAsia="宋体" w:cs="Times New Roman"/>
                <w:sz w:val="18"/>
                <w:szCs w:val="18"/>
              </w:rPr>
              <w:t>(3) Participate in professional competitions, creative design, innovation and entrepreneurship competitions at or above the provincial level;</w:t>
            </w:r>
          </w:p>
          <w:p w14:paraId="762C2743">
            <w:pPr>
              <w:rPr>
                <w:rFonts w:ascii="Times New Roman" w:hAnsi="Times New Roman" w:eastAsia="宋体" w:cs="Times New Roman"/>
                <w:sz w:val="18"/>
                <w:szCs w:val="18"/>
              </w:rPr>
            </w:pPr>
            <w:r>
              <w:rPr>
                <w:rFonts w:ascii="Times New Roman" w:hAnsi="Times New Roman" w:eastAsia="宋体" w:cs="Times New Roman"/>
                <w:sz w:val="18"/>
                <w:szCs w:val="18"/>
              </w:rPr>
              <w:t>(4) Participate in more than 6 academic/industry reports related to this discipline and submit a summary.</w:t>
            </w:r>
          </w:p>
          <w:p w14:paraId="16EB1C85">
            <w:pPr>
              <w:rPr>
                <w:rFonts w:hint="eastAsia" w:ascii="宋体" w:hAnsi="宋体" w:eastAsia="宋体" w:cs="宋体"/>
                <w:sz w:val="18"/>
                <w:szCs w:val="18"/>
              </w:rPr>
            </w:pPr>
            <w:r>
              <w:rPr>
                <w:rFonts w:ascii="Times New Roman" w:hAnsi="Times New Roman" w:eastAsia="宋体" w:cs="Times New Roman"/>
                <w:sz w:val="18"/>
                <w:szCs w:val="18"/>
              </w:rPr>
              <w:t>Completing the innovation and entrepreneurship process and passing the assessment will earn corresponding credits.</w:t>
            </w:r>
          </w:p>
        </w:tc>
        <w:tc>
          <w:tcPr>
            <w:tcW w:w="686" w:type="dxa"/>
            <w:vAlign w:val="center"/>
          </w:tcPr>
          <w:p w14:paraId="54B1D270">
            <w:pPr>
              <w:widowControl/>
              <w:spacing w:line="360" w:lineRule="exact"/>
              <w:jc w:val="center"/>
              <w:rPr>
                <w:rFonts w:hint="eastAsia" w:ascii="宋体" w:hAnsi="宋体" w:eastAsia="宋体" w:cs="宋体"/>
                <w:sz w:val="18"/>
                <w:szCs w:val="18"/>
              </w:rPr>
            </w:pPr>
            <w:r>
              <w:rPr>
                <w:rFonts w:hint="eastAsia" w:ascii="宋体" w:hAnsi="宋体" w:eastAsia="宋体" w:cs="宋体"/>
                <w:sz w:val="18"/>
                <w:szCs w:val="18"/>
              </w:rPr>
              <w:t>1-5</w:t>
            </w:r>
          </w:p>
        </w:tc>
      </w:tr>
      <w:tr w14:paraId="3E932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2020" w:type="dxa"/>
            <w:gridSpan w:val="3"/>
            <w:vAlign w:val="center"/>
          </w:tcPr>
          <w:p w14:paraId="50E0A57B">
            <w:pPr>
              <w:jc w:val="center"/>
              <w:rPr>
                <w:rFonts w:hint="eastAsia" w:ascii="宋体" w:hAnsi="宋体" w:eastAsia="宋体" w:cs="宋体"/>
                <w:b/>
                <w:sz w:val="18"/>
                <w:szCs w:val="18"/>
              </w:rPr>
            </w:pPr>
            <w:r>
              <w:rPr>
                <w:rFonts w:hint="eastAsia" w:ascii="宋体" w:hAnsi="宋体" w:eastAsia="宋体" w:cs="宋体"/>
                <w:b/>
                <w:sz w:val="18"/>
                <w:szCs w:val="18"/>
              </w:rPr>
              <w:t>培养单位</w:t>
            </w:r>
          </w:p>
          <w:p w14:paraId="55394523">
            <w:pPr>
              <w:jc w:val="center"/>
              <w:rPr>
                <w:rFonts w:hint="eastAsia" w:ascii="宋体" w:hAnsi="宋体" w:eastAsia="宋体" w:cs="宋体"/>
                <w:b/>
                <w:sz w:val="18"/>
                <w:szCs w:val="18"/>
              </w:rPr>
            </w:pPr>
            <w:r>
              <w:rPr>
                <w:rFonts w:hint="eastAsia" w:ascii="宋体" w:hAnsi="宋体" w:eastAsia="宋体" w:cs="宋体"/>
                <w:b/>
                <w:sz w:val="18"/>
                <w:szCs w:val="18"/>
              </w:rPr>
              <w:t>教授委员会主任</w:t>
            </w:r>
          </w:p>
        </w:tc>
        <w:tc>
          <w:tcPr>
            <w:tcW w:w="3104" w:type="dxa"/>
            <w:gridSpan w:val="2"/>
            <w:vAlign w:val="center"/>
          </w:tcPr>
          <w:p w14:paraId="111E274F">
            <w:pPr>
              <w:jc w:val="center"/>
              <w:rPr>
                <w:rFonts w:hint="eastAsia" w:ascii="宋体" w:hAnsi="宋体" w:eastAsia="宋体" w:cs="宋体"/>
                <w:b/>
                <w:sz w:val="18"/>
                <w:szCs w:val="18"/>
              </w:rPr>
            </w:pPr>
          </w:p>
        </w:tc>
        <w:tc>
          <w:tcPr>
            <w:tcW w:w="1790" w:type="dxa"/>
            <w:gridSpan w:val="3"/>
            <w:vAlign w:val="center"/>
          </w:tcPr>
          <w:p w14:paraId="4CD6C223">
            <w:pPr>
              <w:jc w:val="center"/>
              <w:rPr>
                <w:rFonts w:hint="eastAsia" w:ascii="宋体" w:hAnsi="宋体" w:eastAsia="宋体" w:cs="宋体"/>
                <w:b/>
                <w:sz w:val="18"/>
                <w:szCs w:val="18"/>
              </w:rPr>
            </w:pPr>
            <w:r>
              <w:rPr>
                <w:rFonts w:hint="eastAsia" w:ascii="宋体" w:hAnsi="宋体" w:eastAsia="宋体" w:cs="宋体"/>
                <w:b/>
                <w:sz w:val="18"/>
                <w:szCs w:val="18"/>
              </w:rPr>
              <w:t>培养单位</w:t>
            </w:r>
          </w:p>
          <w:p w14:paraId="65E29AA5">
            <w:pPr>
              <w:jc w:val="center"/>
              <w:rPr>
                <w:rFonts w:hint="eastAsia" w:ascii="宋体" w:hAnsi="宋体" w:eastAsia="宋体" w:cs="宋体"/>
                <w:b/>
                <w:sz w:val="18"/>
                <w:szCs w:val="18"/>
              </w:rPr>
            </w:pPr>
            <w:r>
              <w:rPr>
                <w:rFonts w:hint="eastAsia" w:ascii="宋体" w:hAnsi="宋体" w:eastAsia="宋体" w:cs="宋体"/>
                <w:b/>
                <w:sz w:val="18"/>
                <w:szCs w:val="18"/>
              </w:rPr>
              <w:t>负责人</w:t>
            </w:r>
          </w:p>
        </w:tc>
        <w:tc>
          <w:tcPr>
            <w:tcW w:w="2443" w:type="dxa"/>
            <w:gridSpan w:val="4"/>
          </w:tcPr>
          <w:p w14:paraId="4153954A">
            <w:pPr>
              <w:rPr>
                <w:rFonts w:hint="eastAsia" w:ascii="宋体" w:hAnsi="宋体" w:eastAsia="宋体" w:cs="宋体"/>
                <w:sz w:val="18"/>
                <w:szCs w:val="18"/>
                <w:highlight w:val="yellow"/>
              </w:rPr>
            </w:pPr>
          </w:p>
        </w:tc>
      </w:tr>
    </w:tbl>
    <w:p w14:paraId="2D54DE46">
      <w:pPr>
        <w:rPr>
          <w:szCs w:val="28"/>
        </w:rPr>
      </w:pPr>
    </w:p>
    <w:p w14:paraId="2BDFF27B">
      <w:pPr>
        <w:rPr>
          <w:szCs w:val="28"/>
        </w:rPr>
      </w:pPr>
    </w:p>
    <w:p w14:paraId="4966245C">
      <w:pPr>
        <w:rPr>
          <w:szCs w:val="28"/>
        </w:rPr>
      </w:pPr>
    </w:p>
    <w:p w14:paraId="6E8DC8CB">
      <w:pPr>
        <w:rPr>
          <w:szCs w:val="28"/>
        </w:rPr>
      </w:pPr>
    </w:p>
    <w:p w14:paraId="505CF8C0">
      <w:pPr>
        <w:rPr>
          <w:szCs w:val="28"/>
        </w:rPr>
      </w:pPr>
    </w:p>
    <w:p w14:paraId="19BFB1E6">
      <w:pPr>
        <w:rPr>
          <w:szCs w:val="28"/>
        </w:rPr>
      </w:pPr>
    </w:p>
    <w:p w14:paraId="6A18775B">
      <w:pPr>
        <w:rPr>
          <w:szCs w:val="28"/>
        </w:rPr>
      </w:pPr>
    </w:p>
    <w:p w14:paraId="47A7BDBE">
      <w:pPr>
        <w:rPr>
          <w:szCs w:val="28"/>
        </w:rPr>
      </w:pPr>
    </w:p>
    <w:p w14:paraId="0926FA25">
      <w:pPr>
        <w:rPr>
          <w:szCs w:val="28"/>
        </w:rPr>
      </w:pPr>
    </w:p>
    <w:p w14:paraId="375701EF">
      <w:pPr>
        <w:rPr>
          <w:szCs w:val="28"/>
        </w:rPr>
      </w:pPr>
    </w:p>
    <w:p w14:paraId="1FF1F2E9">
      <w:pPr>
        <w:rPr>
          <w:szCs w:val="28"/>
        </w:rPr>
      </w:pPr>
    </w:p>
    <w:p w14:paraId="20009A41">
      <w:pPr>
        <w:rPr>
          <w:szCs w:val="28"/>
        </w:rPr>
      </w:pPr>
    </w:p>
    <w:p w14:paraId="522A7FA3">
      <w:pPr>
        <w:rPr>
          <w:szCs w:val="28"/>
        </w:rPr>
      </w:pPr>
    </w:p>
    <w:p w14:paraId="436F69C1">
      <w:pPr>
        <w:rPr>
          <w:szCs w:val="28"/>
        </w:rPr>
      </w:pPr>
    </w:p>
    <w:p w14:paraId="2438ED47">
      <w:pPr>
        <w:rPr>
          <w:szCs w:val="28"/>
        </w:rPr>
      </w:pPr>
    </w:p>
    <w:p w14:paraId="36F3804E">
      <w:pPr>
        <w:rPr>
          <w:szCs w:val="28"/>
        </w:rPr>
      </w:pPr>
    </w:p>
    <w:p w14:paraId="368DFD10">
      <w:pPr>
        <w:rPr>
          <w:szCs w:val="28"/>
        </w:rPr>
      </w:pPr>
    </w:p>
    <w:p w14:paraId="003228A8">
      <w:pPr>
        <w:rPr>
          <w:szCs w:val="28"/>
        </w:rPr>
      </w:pPr>
    </w:p>
    <w:p w14:paraId="1F4E6058">
      <w:pPr>
        <w:pStyle w:val="6"/>
        <w:spacing w:line="480" w:lineRule="auto"/>
        <w:jc w:val="center"/>
        <w:rPr>
          <w:rFonts w:hint="eastAsia" w:ascii="黑体" w:hAnsi="黑体" w:eastAsia="黑体" w:cs="黑体"/>
          <w:b/>
          <w:sz w:val="28"/>
          <w:szCs w:val="28"/>
        </w:rPr>
      </w:pPr>
    </w:p>
    <w:p w14:paraId="1CD2C300">
      <w:pPr>
        <w:pStyle w:val="6"/>
        <w:spacing w:line="480" w:lineRule="auto"/>
        <w:jc w:val="center"/>
        <w:rPr>
          <w:rFonts w:hint="eastAsia" w:ascii="黑体" w:hAnsi="黑体" w:eastAsia="黑体" w:cs="黑体"/>
          <w:b/>
          <w:sz w:val="28"/>
          <w:szCs w:val="28"/>
        </w:rPr>
      </w:pPr>
    </w:p>
    <w:p w14:paraId="5C8F8D3F">
      <w:pPr>
        <w:pStyle w:val="6"/>
        <w:spacing w:line="480" w:lineRule="auto"/>
        <w:jc w:val="center"/>
        <w:rPr>
          <w:rFonts w:hint="eastAsia" w:ascii="黑体" w:hAnsi="黑体" w:eastAsia="黑体" w:cs="黑体"/>
          <w:b/>
          <w:sz w:val="28"/>
          <w:szCs w:val="28"/>
        </w:rPr>
      </w:pPr>
    </w:p>
    <w:p w14:paraId="0A2A9736">
      <w:pPr>
        <w:pStyle w:val="6"/>
        <w:spacing w:line="480" w:lineRule="auto"/>
        <w:jc w:val="center"/>
        <w:rPr>
          <w:rFonts w:hint="eastAsia" w:ascii="黑体" w:hAnsi="黑体" w:eastAsia="黑体" w:cs="黑体"/>
          <w:b/>
          <w:sz w:val="28"/>
          <w:szCs w:val="28"/>
        </w:rPr>
      </w:pPr>
    </w:p>
    <w:p w14:paraId="1EF7A69F">
      <w:pPr>
        <w:pStyle w:val="6"/>
        <w:spacing w:line="480" w:lineRule="auto"/>
        <w:jc w:val="center"/>
        <w:rPr>
          <w:rFonts w:hint="eastAsia" w:ascii="黑体" w:hAnsi="黑体" w:eastAsia="黑体" w:cs="黑体"/>
          <w:b/>
          <w:sz w:val="28"/>
          <w:szCs w:val="28"/>
        </w:rPr>
      </w:pPr>
    </w:p>
    <w:p w14:paraId="1DBFD77D">
      <w:pPr>
        <w:pStyle w:val="6"/>
        <w:spacing w:line="480" w:lineRule="auto"/>
        <w:jc w:val="center"/>
        <w:rPr>
          <w:rFonts w:hint="eastAsia" w:ascii="黑体" w:hAnsi="黑体" w:eastAsia="黑体" w:cs="黑体"/>
          <w:b/>
          <w:sz w:val="28"/>
          <w:szCs w:val="28"/>
        </w:rPr>
      </w:pPr>
    </w:p>
    <w:p w14:paraId="63BA92F3">
      <w:pPr>
        <w:pStyle w:val="6"/>
        <w:spacing w:line="480" w:lineRule="auto"/>
        <w:jc w:val="center"/>
        <w:rPr>
          <w:rFonts w:hint="eastAsia" w:ascii="黑体" w:hAnsi="黑体" w:eastAsia="黑体" w:cs="黑体"/>
          <w:b/>
          <w:sz w:val="28"/>
          <w:szCs w:val="28"/>
        </w:rPr>
      </w:pPr>
    </w:p>
    <w:p w14:paraId="07A46B7E">
      <w:pPr>
        <w:pStyle w:val="6"/>
        <w:spacing w:line="480" w:lineRule="auto"/>
        <w:jc w:val="center"/>
        <w:rPr>
          <w:rFonts w:hint="eastAsia" w:ascii="黑体" w:hAnsi="黑体" w:eastAsia="黑体" w:cs="黑体"/>
          <w:b/>
          <w:sz w:val="28"/>
          <w:szCs w:val="28"/>
        </w:rPr>
      </w:pPr>
      <w:r>
        <w:rPr>
          <w:rFonts w:hint="eastAsia" w:ascii="黑体" w:hAnsi="黑体" w:eastAsia="黑体" w:cs="黑体"/>
          <w:b/>
          <w:sz w:val="28"/>
          <w:szCs w:val="28"/>
        </w:rPr>
        <w:t>主要参考书目及重要学术期刊</w:t>
      </w:r>
    </w:p>
    <w:tbl>
      <w:tblPr>
        <w:tblStyle w:val="12"/>
        <w:tblW w:w="9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548"/>
      </w:tblGrid>
      <w:tr w14:paraId="30FF0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tblHeader/>
          <w:jc w:val="center"/>
        </w:trPr>
        <w:tc>
          <w:tcPr>
            <w:tcW w:w="800" w:type="dxa"/>
            <w:vAlign w:val="center"/>
          </w:tcPr>
          <w:p w14:paraId="49BC73E0">
            <w:pPr>
              <w:spacing w:line="460" w:lineRule="exact"/>
              <w:jc w:val="center"/>
              <w:rPr>
                <w:rFonts w:hint="eastAsia" w:ascii="宋体" w:hAnsi="宋体" w:eastAsia="宋体" w:cs="宋体"/>
                <w:b/>
                <w:sz w:val="18"/>
                <w:szCs w:val="18"/>
              </w:rPr>
            </w:pPr>
            <w:r>
              <w:rPr>
                <w:rFonts w:hint="eastAsia" w:ascii="宋体" w:hAnsi="宋体" w:eastAsia="宋体" w:cs="宋体"/>
                <w:b/>
                <w:sz w:val="18"/>
                <w:szCs w:val="18"/>
              </w:rPr>
              <w:t>序号</w:t>
            </w:r>
          </w:p>
        </w:tc>
        <w:tc>
          <w:tcPr>
            <w:tcW w:w="8548" w:type="dxa"/>
            <w:vAlign w:val="center"/>
          </w:tcPr>
          <w:p w14:paraId="5DB62D91">
            <w:pPr>
              <w:spacing w:line="460" w:lineRule="exact"/>
              <w:jc w:val="center"/>
              <w:rPr>
                <w:rFonts w:hint="eastAsia" w:ascii="宋体" w:hAnsi="宋体" w:eastAsia="宋体" w:cs="宋体"/>
                <w:b/>
                <w:sz w:val="18"/>
                <w:szCs w:val="18"/>
              </w:rPr>
            </w:pPr>
            <w:r>
              <w:rPr>
                <w:rFonts w:hint="eastAsia" w:ascii="宋体" w:hAnsi="宋体" w:eastAsia="宋体" w:cs="宋体"/>
                <w:b/>
                <w:sz w:val="18"/>
                <w:szCs w:val="18"/>
              </w:rPr>
              <w:t>名    称</w:t>
            </w:r>
          </w:p>
        </w:tc>
      </w:tr>
      <w:tr w14:paraId="5FB3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41EFEFD6">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w:t>
            </w:r>
          </w:p>
        </w:tc>
        <w:tc>
          <w:tcPr>
            <w:tcW w:w="8548" w:type="dxa"/>
            <w:vAlign w:val="center"/>
          </w:tcPr>
          <w:p w14:paraId="2CD0C21B">
            <w:pPr>
              <w:spacing w:line="460" w:lineRule="exact"/>
              <w:rPr>
                <w:rFonts w:hint="eastAsia" w:ascii="宋体" w:hAnsi="宋体" w:eastAsia="宋体" w:cs="宋体"/>
                <w:sz w:val="18"/>
                <w:szCs w:val="18"/>
              </w:rPr>
            </w:pPr>
            <w:r>
              <w:rPr>
                <w:rFonts w:hint="eastAsia" w:ascii="宋体" w:hAnsi="宋体" w:eastAsia="宋体" w:cs="宋体"/>
                <w:sz w:val="18"/>
                <w:szCs w:val="18"/>
              </w:rPr>
              <w:t>陆俭明、马真著：《</w:t>
            </w:r>
            <w:r>
              <w:rPr>
                <w:rFonts w:hint="eastAsia" w:ascii="宋体" w:hAnsi="宋体" w:eastAsia="宋体" w:cs="宋体"/>
                <w:sz w:val="18"/>
                <w:szCs w:val="18"/>
                <w:shd w:val="clear" w:color="auto" w:fill="FFFFFF"/>
              </w:rPr>
              <w:t>汉语教师应有的素质与基本功</w:t>
            </w:r>
            <w:r>
              <w:rPr>
                <w:rFonts w:hint="eastAsia" w:ascii="宋体" w:hAnsi="宋体" w:eastAsia="宋体" w:cs="宋体"/>
                <w:sz w:val="18"/>
                <w:szCs w:val="18"/>
              </w:rPr>
              <w:t>》，外语教学与研究出版社2016年版。</w:t>
            </w:r>
          </w:p>
        </w:tc>
      </w:tr>
      <w:tr w14:paraId="00156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7B86A1B8">
            <w:pPr>
              <w:pStyle w:val="4"/>
              <w:jc w:val="center"/>
              <w:rPr>
                <w:rFonts w:hint="eastAsia" w:ascii="宋体" w:hAnsi="宋体" w:eastAsia="宋体" w:cs="宋体"/>
                <w:sz w:val="18"/>
                <w:szCs w:val="18"/>
              </w:rPr>
            </w:pPr>
            <w:r>
              <w:rPr>
                <w:rFonts w:hint="eastAsia" w:ascii="宋体" w:hAnsi="宋体" w:eastAsia="宋体" w:cs="宋体"/>
                <w:sz w:val="18"/>
                <w:szCs w:val="18"/>
              </w:rPr>
              <w:t>2</w:t>
            </w:r>
          </w:p>
        </w:tc>
        <w:tc>
          <w:tcPr>
            <w:tcW w:w="8548" w:type="dxa"/>
            <w:vAlign w:val="center"/>
          </w:tcPr>
          <w:p w14:paraId="76F7160A">
            <w:pPr>
              <w:pStyle w:val="4"/>
              <w:rPr>
                <w:rFonts w:hint="eastAsia" w:ascii="宋体" w:hAnsi="宋体" w:eastAsia="宋体" w:cs="宋体"/>
                <w:sz w:val="18"/>
                <w:szCs w:val="18"/>
              </w:rPr>
            </w:pPr>
            <w:r>
              <w:rPr>
                <w:rFonts w:hint="eastAsia" w:ascii="宋体" w:hAnsi="宋体" w:eastAsia="宋体" w:cs="宋体"/>
                <w:sz w:val="18"/>
                <w:szCs w:val="18"/>
              </w:rPr>
              <w:t>赵金铭：《对外汉语教学概论》（修订版），商务印书馆2019年版。</w:t>
            </w:r>
          </w:p>
        </w:tc>
      </w:tr>
      <w:tr w14:paraId="52D35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 w:hRule="exact"/>
          <w:jc w:val="center"/>
        </w:trPr>
        <w:tc>
          <w:tcPr>
            <w:tcW w:w="800" w:type="dxa"/>
            <w:vAlign w:val="center"/>
          </w:tcPr>
          <w:p w14:paraId="4FA0F97E">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w:t>
            </w:r>
          </w:p>
        </w:tc>
        <w:tc>
          <w:tcPr>
            <w:tcW w:w="8548" w:type="dxa"/>
            <w:vAlign w:val="center"/>
          </w:tcPr>
          <w:p w14:paraId="6D9045D1">
            <w:pPr>
              <w:spacing w:line="460" w:lineRule="exact"/>
              <w:rPr>
                <w:rFonts w:hint="eastAsia" w:ascii="宋体" w:hAnsi="宋体" w:eastAsia="宋体" w:cs="宋体"/>
                <w:sz w:val="18"/>
                <w:szCs w:val="18"/>
              </w:rPr>
            </w:pPr>
            <w:r>
              <w:rPr>
                <w:rFonts w:hint="eastAsia" w:ascii="宋体" w:hAnsi="宋体" w:eastAsia="宋体" w:cs="宋体"/>
                <w:sz w:val="18"/>
                <w:szCs w:val="18"/>
              </w:rPr>
              <w:t>刘珣著：《对外汉语教育学引论》，北京语言文化大学出版社2000年版。</w:t>
            </w:r>
          </w:p>
        </w:tc>
      </w:tr>
      <w:tr w14:paraId="59F3A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0FF3D8BE">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4</w:t>
            </w:r>
          </w:p>
        </w:tc>
        <w:tc>
          <w:tcPr>
            <w:tcW w:w="8548" w:type="dxa"/>
            <w:vAlign w:val="center"/>
          </w:tcPr>
          <w:p w14:paraId="18CEA806">
            <w:pPr>
              <w:spacing w:line="460" w:lineRule="exact"/>
              <w:rPr>
                <w:rFonts w:hint="eastAsia" w:ascii="宋体" w:hAnsi="宋体" w:eastAsia="宋体" w:cs="宋体"/>
                <w:sz w:val="18"/>
                <w:szCs w:val="18"/>
              </w:rPr>
            </w:pPr>
            <w:r>
              <w:rPr>
                <w:rFonts w:hint="eastAsia" w:ascii="宋体" w:hAnsi="宋体" w:eastAsia="宋体" w:cs="宋体"/>
                <w:sz w:val="18"/>
                <w:szCs w:val="18"/>
              </w:rPr>
              <w:t>徐子亮、吴仁甫著：《实用对外汉语教学法》，北京大学出版社2005年版。</w:t>
            </w:r>
          </w:p>
          <w:p w14:paraId="4B10AE18">
            <w:pPr>
              <w:spacing w:line="460" w:lineRule="exact"/>
              <w:rPr>
                <w:rFonts w:hint="eastAsia" w:ascii="宋体" w:hAnsi="宋体" w:eastAsia="宋体" w:cs="宋体"/>
                <w:sz w:val="18"/>
                <w:szCs w:val="18"/>
              </w:rPr>
            </w:pPr>
          </w:p>
        </w:tc>
      </w:tr>
      <w:tr w14:paraId="2F3E8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733D2BA1">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5</w:t>
            </w:r>
          </w:p>
        </w:tc>
        <w:tc>
          <w:tcPr>
            <w:tcW w:w="8548" w:type="dxa"/>
            <w:vAlign w:val="center"/>
          </w:tcPr>
          <w:p w14:paraId="0CBFA58B">
            <w:pPr>
              <w:tabs>
                <w:tab w:val="left" w:pos="420"/>
                <w:tab w:val="left" w:pos="840"/>
                <w:tab w:val="left" w:pos="3990"/>
              </w:tabs>
              <w:spacing w:line="460" w:lineRule="exact"/>
              <w:rPr>
                <w:rFonts w:hint="eastAsia" w:ascii="宋体" w:hAnsi="宋体" w:eastAsia="宋体" w:cs="宋体"/>
                <w:sz w:val="18"/>
                <w:szCs w:val="18"/>
              </w:rPr>
            </w:pPr>
            <w:r>
              <w:rPr>
                <w:rFonts w:hint="eastAsia" w:ascii="宋体" w:hAnsi="宋体" w:eastAsia="宋体" w:cs="宋体"/>
                <w:sz w:val="18"/>
                <w:szCs w:val="18"/>
              </w:rPr>
              <w:t>王建勤主编：《第二语言习得研究》，商务印书馆2009年版。</w:t>
            </w:r>
          </w:p>
        </w:tc>
      </w:tr>
      <w:tr w14:paraId="12F3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0CFE1FC0">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6</w:t>
            </w:r>
          </w:p>
        </w:tc>
        <w:tc>
          <w:tcPr>
            <w:tcW w:w="8548" w:type="dxa"/>
            <w:vAlign w:val="center"/>
          </w:tcPr>
          <w:p w14:paraId="0C14BF14">
            <w:pPr>
              <w:spacing w:line="460" w:lineRule="exact"/>
              <w:rPr>
                <w:rFonts w:hint="eastAsia" w:ascii="宋体" w:hAnsi="宋体" w:eastAsia="宋体" w:cs="宋体"/>
                <w:sz w:val="18"/>
                <w:szCs w:val="18"/>
              </w:rPr>
            </w:pPr>
            <w:r>
              <w:rPr>
                <w:rFonts w:hint="eastAsia" w:ascii="宋体" w:hAnsi="宋体" w:eastAsia="宋体" w:cs="宋体"/>
                <w:sz w:val="18"/>
                <w:szCs w:val="18"/>
              </w:rPr>
              <w:t>赵杨编著：《第二语言习得》，北京大学出版社2011年版。</w:t>
            </w:r>
          </w:p>
        </w:tc>
      </w:tr>
      <w:tr w14:paraId="651D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10CCE043">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7</w:t>
            </w:r>
          </w:p>
        </w:tc>
        <w:tc>
          <w:tcPr>
            <w:tcW w:w="8548" w:type="dxa"/>
            <w:vAlign w:val="center"/>
          </w:tcPr>
          <w:p w14:paraId="1EC42071">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江新著：《对外汉语教学的心理学探索》，教育科学出版社2007年版。</w:t>
            </w:r>
          </w:p>
        </w:tc>
      </w:tr>
      <w:tr w14:paraId="490D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F62BD25">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8</w:t>
            </w:r>
          </w:p>
        </w:tc>
        <w:tc>
          <w:tcPr>
            <w:tcW w:w="8548" w:type="dxa"/>
            <w:vAlign w:val="center"/>
          </w:tcPr>
          <w:p w14:paraId="79FF0FC7">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周小兵著：《对外汉语教学入门》，中山大学出版社2017年版。</w:t>
            </w:r>
          </w:p>
        </w:tc>
      </w:tr>
      <w:tr w14:paraId="666B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exact"/>
          <w:jc w:val="center"/>
        </w:trPr>
        <w:tc>
          <w:tcPr>
            <w:tcW w:w="800" w:type="dxa"/>
            <w:vAlign w:val="center"/>
          </w:tcPr>
          <w:p w14:paraId="19DA315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9</w:t>
            </w:r>
          </w:p>
        </w:tc>
        <w:tc>
          <w:tcPr>
            <w:tcW w:w="8548" w:type="dxa"/>
            <w:vAlign w:val="center"/>
          </w:tcPr>
          <w:p w14:paraId="62A4C6CD">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黄锦章、刘焱著：《对外汉语教学中的理论和方法》，北京大学出版社2004年版。</w:t>
            </w:r>
          </w:p>
        </w:tc>
      </w:tr>
      <w:tr w14:paraId="2B4A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exact"/>
          <w:jc w:val="center"/>
        </w:trPr>
        <w:tc>
          <w:tcPr>
            <w:tcW w:w="800" w:type="dxa"/>
            <w:vAlign w:val="center"/>
          </w:tcPr>
          <w:p w14:paraId="487EE832">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10</w:t>
            </w:r>
          </w:p>
        </w:tc>
        <w:tc>
          <w:tcPr>
            <w:tcW w:w="8548" w:type="dxa"/>
            <w:vAlign w:val="center"/>
          </w:tcPr>
          <w:p w14:paraId="479E9F1B">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张庆宗主编：《外语教育心理学》，湖北教育出版社2008年版。</w:t>
            </w:r>
          </w:p>
        </w:tc>
      </w:tr>
      <w:tr w14:paraId="344B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exact"/>
          <w:jc w:val="center"/>
        </w:trPr>
        <w:tc>
          <w:tcPr>
            <w:tcW w:w="800" w:type="dxa"/>
            <w:vAlign w:val="center"/>
          </w:tcPr>
          <w:p w14:paraId="67F2F3F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11</w:t>
            </w:r>
          </w:p>
        </w:tc>
        <w:tc>
          <w:tcPr>
            <w:tcW w:w="8548" w:type="dxa"/>
            <w:vAlign w:val="center"/>
          </w:tcPr>
          <w:p w14:paraId="6E86612F">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翟艳，苏英霞等：《汉语技能教学》（第2版），北京语言大学出版社2022年版。</w:t>
            </w:r>
          </w:p>
        </w:tc>
      </w:tr>
      <w:tr w14:paraId="405DE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4599AF21">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12</w:t>
            </w:r>
          </w:p>
        </w:tc>
        <w:tc>
          <w:tcPr>
            <w:tcW w:w="8548" w:type="dxa"/>
            <w:vAlign w:val="center"/>
          </w:tcPr>
          <w:p w14:paraId="33E0565D">
            <w:pPr>
              <w:spacing w:line="460" w:lineRule="exact"/>
              <w:ind w:left="1440" w:hanging="1440" w:hangingChars="800"/>
              <w:rPr>
                <w:rFonts w:hint="eastAsia" w:ascii="宋体" w:hAnsi="宋体" w:eastAsia="宋体" w:cs="宋体"/>
                <w:sz w:val="18"/>
                <w:szCs w:val="18"/>
              </w:rPr>
            </w:pPr>
            <w:r>
              <w:rPr>
                <w:rFonts w:hint="eastAsia" w:ascii="宋体" w:hAnsi="宋体" w:eastAsia="宋体" w:cs="宋体"/>
                <w:sz w:val="18"/>
                <w:szCs w:val="18"/>
              </w:rPr>
              <w:t>崔永华著：《词汇文字研究与对外汉语教学》，北京语言大学出版社2009年版。</w:t>
            </w:r>
          </w:p>
        </w:tc>
      </w:tr>
      <w:tr w14:paraId="7829F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6E18C7AE">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13</w:t>
            </w:r>
          </w:p>
        </w:tc>
        <w:tc>
          <w:tcPr>
            <w:tcW w:w="8548" w:type="dxa"/>
            <w:vAlign w:val="center"/>
          </w:tcPr>
          <w:p w14:paraId="47B14ED4">
            <w:pPr>
              <w:spacing w:line="460" w:lineRule="exact"/>
              <w:rPr>
                <w:rFonts w:hint="eastAsia" w:ascii="宋体" w:hAnsi="宋体" w:eastAsia="宋体" w:cs="宋体"/>
                <w:sz w:val="18"/>
                <w:szCs w:val="18"/>
              </w:rPr>
            </w:pPr>
            <w:r>
              <w:rPr>
                <w:rFonts w:hint="eastAsia" w:ascii="宋体" w:hAnsi="宋体" w:eastAsia="宋体" w:cs="宋体"/>
                <w:sz w:val="18"/>
                <w:szCs w:val="18"/>
              </w:rPr>
              <w:t>李德津著：《汉语语法教学》，北京语言大学出版社2009年版。</w:t>
            </w:r>
          </w:p>
        </w:tc>
      </w:tr>
      <w:tr w14:paraId="240C6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7CAEC6B6">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14</w:t>
            </w:r>
          </w:p>
        </w:tc>
        <w:tc>
          <w:tcPr>
            <w:tcW w:w="8548" w:type="dxa"/>
            <w:vAlign w:val="center"/>
          </w:tcPr>
          <w:p w14:paraId="580A2389">
            <w:pPr>
              <w:spacing w:line="460" w:lineRule="exact"/>
              <w:jc w:val="left"/>
              <w:rPr>
                <w:rFonts w:hint="eastAsia" w:ascii="宋体" w:hAnsi="宋体" w:eastAsia="宋体" w:cs="宋体"/>
                <w:sz w:val="18"/>
                <w:szCs w:val="18"/>
              </w:rPr>
            </w:pPr>
            <w:r>
              <w:rPr>
                <w:rFonts w:hint="eastAsia" w:ascii="宋体" w:hAnsi="宋体" w:eastAsia="宋体" w:cs="宋体"/>
                <w:sz w:val="18"/>
                <w:szCs w:val="18"/>
              </w:rPr>
              <w:t>周小兵著：《汉语阅读教学理论与方法》，北京大学出版社2008年版。</w:t>
            </w:r>
          </w:p>
          <w:p w14:paraId="18021C82">
            <w:pPr>
              <w:spacing w:line="460" w:lineRule="exact"/>
              <w:rPr>
                <w:rFonts w:hint="eastAsia" w:ascii="宋体" w:hAnsi="宋体" w:eastAsia="宋体" w:cs="宋体"/>
                <w:sz w:val="18"/>
                <w:szCs w:val="18"/>
              </w:rPr>
            </w:pPr>
          </w:p>
        </w:tc>
      </w:tr>
      <w:tr w14:paraId="2C2C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0A568DA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15</w:t>
            </w:r>
          </w:p>
        </w:tc>
        <w:tc>
          <w:tcPr>
            <w:tcW w:w="8548" w:type="dxa"/>
            <w:vAlign w:val="center"/>
          </w:tcPr>
          <w:p w14:paraId="3585E131">
            <w:pPr>
              <w:spacing w:line="460" w:lineRule="exact"/>
              <w:jc w:val="left"/>
              <w:rPr>
                <w:rFonts w:hint="eastAsia" w:ascii="宋体" w:hAnsi="宋体" w:eastAsia="宋体" w:cs="宋体"/>
                <w:sz w:val="18"/>
                <w:szCs w:val="18"/>
              </w:rPr>
            </w:pPr>
            <w:r>
              <w:rPr>
                <w:rFonts w:hint="eastAsia" w:ascii="宋体" w:hAnsi="宋体" w:eastAsia="宋体" w:cs="宋体"/>
                <w:sz w:val="18"/>
                <w:szCs w:val="18"/>
              </w:rPr>
              <w:t>朱勇主编：《国际汉语教学案例与分析》，高等教育出版社2013年版。</w:t>
            </w:r>
          </w:p>
          <w:p w14:paraId="6C1CE93E">
            <w:pPr>
              <w:spacing w:line="460" w:lineRule="exact"/>
              <w:rPr>
                <w:rFonts w:hint="eastAsia" w:ascii="宋体" w:hAnsi="宋体" w:eastAsia="宋体" w:cs="宋体"/>
                <w:sz w:val="18"/>
                <w:szCs w:val="18"/>
              </w:rPr>
            </w:pPr>
          </w:p>
        </w:tc>
      </w:tr>
      <w:tr w14:paraId="34B32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514937A9">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16</w:t>
            </w:r>
          </w:p>
        </w:tc>
        <w:tc>
          <w:tcPr>
            <w:tcW w:w="8548" w:type="dxa"/>
            <w:vAlign w:val="center"/>
          </w:tcPr>
          <w:p w14:paraId="00E935F3">
            <w:pPr>
              <w:tabs>
                <w:tab w:val="left" w:pos="420"/>
                <w:tab w:val="left" w:pos="840"/>
                <w:tab w:val="left" w:pos="3990"/>
              </w:tabs>
              <w:spacing w:line="460" w:lineRule="exact"/>
              <w:rPr>
                <w:rFonts w:hint="eastAsia" w:ascii="宋体" w:hAnsi="宋体" w:eastAsia="宋体" w:cs="宋体"/>
                <w:sz w:val="18"/>
                <w:szCs w:val="18"/>
              </w:rPr>
            </w:pPr>
            <w:r>
              <w:rPr>
                <w:rFonts w:hint="eastAsia" w:ascii="宋体" w:hAnsi="宋体" w:eastAsia="宋体" w:cs="宋体"/>
                <w:sz w:val="18"/>
                <w:szCs w:val="18"/>
              </w:rPr>
              <w:t>朱德熙著：《语法讲义》，商务印书馆1982年版。</w:t>
            </w:r>
          </w:p>
          <w:p w14:paraId="0DC75FCE">
            <w:pPr>
              <w:spacing w:line="460" w:lineRule="exact"/>
              <w:rPr>
                <w:rFonts w:hint="eastAsia" w:ascii="宋体" w:hAnsi="宋体" w:eastAsia="宋体" w:cs="宋体"/>
                <w:sz w:val="18"/>
                <w:szCs w:val="18"/>
              </w:rPr>
            </w:pPr>
          </w:p>
        </w:tc>
      </w:tr>
      <w:tr w14:paraId="63DC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exact"/>
          <w:jc w:val="center"/>
        </w:trPr>
        <w:tc>
          <w:tcPr>
            <w:tcW w:w="800" w:type="dxa"/>
            <w:vAlign w:val="center"/>
          </w:tcPr>
          <w:p w14:paraId="572B4561">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17</w:t>
            </w:r>
          </w:p>
        </w:tc>
        <w:tc>
          <w:tcPr>
            <w:tcW w:w="8548" w:type="dxa"/>
            <w:vAlign w:val="center"/>
          </w:tcPr>
          <w:p w14:paraId="32117C5C">
            <w:pPr>
              <w:spacing w:line="460" w:lineRule="exact"/>
              <w:rPr>
                <w:rFonts w:hint="eastAsia" w:ascii="宋体" w:hAnsi="宋体" w:eastAsia="宋体" w:cs="宋体"/>
                <w:sz w:val="18"/>
                <w:szCs w:val="18"/>
              </w:rPr>
            </w:pPr>
            <w:r>
              <w:rPr>
                <w:rFonts w:hint="eastAsia" w:ascii="宋体" w:hAnsi="宋体" w:eastAsia="宋体" w:cs="宋体"/>
                <w:sz w:val="18"/>
                <w:szCs w:val="18"/>
              </w:rPr>
              <w:t>吕叔湘著：《汉语语法分析问题》，商务印书馆1979年版。</w:t>
            </w:r>
          </w:p>
        </w:tc>
      </w:tr>
      <w:tr w14:paraId="0D8EE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208AB990">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18</w:t>
            </w:r>
          </w:p>
        </w:tc>
        <w:tc>
          <w:tcPr>
            <w:tcW w:w="8548" w:type="dxa"/>
            <w:vAlign w:val="center"/>
          </w:tcPr>
          <w:p w14:paraId="04FD8974">
            <w:pPr>
              <w:spacing w:line="460" w:lineRule="exact"/>
              <w:jc w:val="left"/>
              <w:rPr>
                <w:rFonts w:hint="eastAsia" w:ascii="宋体" w:hAnsi="宋体" w:eastAsia="宋体" w:cs="宋体"/>
                <w:sz w:val="18"/>
                <w:szCs w:val="18"/>
              </w:rPr>
            </w:pPr>
            <w:r>
              <w:rPr>
                <w:rFonts w:hint="eastAsia" w:ascii="宋体" w:hAnsi="宋体" w:eastAsia="宋体" w:cs="宋体"/>
                <w:sz w:val="18"/>
                <w:szCs w:val="18"/>
              </w:rPr>
              <w:t>陆俭明、沈阳著：《汉语和汉语研究十五讲》，北京大学出版社2004年版。</w:t>
            </w:r>
          </w:p>
        </w:tc>
      </w:tr>
      <w:tr w14:paraId="7EEAA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exact"/>
          <w:jc w:val="center"/>
        </w:trPr>
        <w:tc>
          <w:tcPr>
            <w:tcW w:w="800" w:type="dxa"/>
            <w:vAlign w:val="center"/>
          </w:tcPr>
          <w:p w14:paraId="3F2E90F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19</w:t>
            </w:r>
          </w:p>
        </w:tc>
        <w:tc>
          <w:tcPr>
            <w:tcW w:w="8548" w:type="dxa"/>
            <w:vAlign w:val="center"/>
          </w:tcPr>
          <w:p w14:paraId="787D6DCF">
            <w:pPr>
              <w:spacing w:line="460" w:lineRule="exact"/>
              <w:jc w:val="left"/>
              <w:rPr>
                <w:rFonts w:hint="eastAsia" w:ascii="宋体" w:hAnsi="宋体" w:eastAsia="宋体" w:cs="宋体"/>
                <w:sz w:val="18"/>
                <w:szCs w:val="18"/>
              </w:rPr>
            </w:pPr>
            <w:r>
              <w:rPr>
                <w:rFonts w:hint="eastAsia" w:ascii="宋体" w:hAnsi="宋体" w:eastAsia="宋体" w:cs="宋体"/>
                <w:sz w:val="18"/>
                <w:szCs w:val="18"/>
              </w:rPr>
              <w:t>徐晶凝编著：《汉语语法教程：从知识到能力》，北京大学出版社2017年版。</w:t>
            </w:r>
          </w:p>
        </w:tc>
      </w:tr>
      <w:tr w14:paraId="4899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jc w:val="center"/>
        </w:trPr>
        <w:tc>
          <w:tcPr>
            <w:tcW w:w="800" w:type="dxa"/>
            <w:vAlign w:val="center"/>
          </w:tcPr>
          <w:p w14:paraId="0A7AFF34">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20</w:t>
            </w:r>
          </w:p>
        </w:tc>
        <w:tc>
          <w:tcPr>
            <w:tcW w:w="8548" w:type="dxa"/>
            <w:vAlign w:val="center"/>
          </w:tcPr>
          <w:p w14:paraId="2B9D3227">
            <w:pPr>
              <w:spacing w:line="460" w:lineRule="exact"/>
              <w:rPr>
                <w:rFonts w:hint="eastAsia" w:ascii="宋体" w:hAnsi="宋体" w:eastAsia="宋体" w:cs="宋体"/>
                <w:sz w:val="18"/>
                <w:szCs w:val="18"/>
              </w:rPr>
            </w:pPr>
            <w:r>
              <w:rPr>
                <w:rFonts w:hint="eastAsia" w:ascii="宋体" w:hAnsi="宋体" w:eastAsia="宋体" w:cs="宋体"/>
                <w:sz w:val="18"/>
                <w:szCs w:val="18"/>
              </w:rPr>
              <w:t>潘文国著：《汉英对比研究》，华东师大出版社2010年版。</w:t>
            </w:r>
          </w:p>
        </w:tc>
      </w:tr>
      <w:tr w14:paraId="07B3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4E94CD30">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21</w:t>
            </w:r>
          </w:p>
        </w:tc>
        <w:tc>
          <w:tcPr>
            <w:tcW w:w="8548" w:type="dxa"/>
            <w:vAlign w:val="center"/>
          </w:tcPr>
          <w:p w14:paraId="3D907FDB">
            <w:pPr>
              <w:spacing w:line="460" w:lineRule="exact"/>
              <w:rPr>
                <w:rFonts w:hint="eastAsia" w:ascii="宋体" w:hAnsi="宋体" w:eastAsia="宋体" w:cs="宋体"/>
                <w:sz w:val="18"/>
                <w:szCs w:val="18"/>
              </w:rPr>
            </w:pPr>
            <w:r>
              <w:rPr>
                <w:rFonts w:hint="eastAsia" w:ascii="宋体" w:hAnsi="宋体" w:eastAsia="宋体" w:cs="宋体"/>
                <w:sz w:val="18"/>
                <w:szCs w:val="18"/>
              </w:rPr>
              <w:t>陈一平、孙雪霞编著：《中华优秀传统文化概论》，广东人民出版社2014年版。</w:t>
            </w:r>
          </w:p>
          <w:p w14:paraId="6B85D118">
            <w:pPr>
              <w:spacing w:line="460" w:lineRule="exact"/>
              <w:rPr>
                <w:rFonts w:hint="eastAsia" w:ascii="宋体" w:hAnsi="宋体" w:eastAsia="宋体" w:cs="宋体"/>
                <w:sz w:val="18"/>
                <w:szCs w:val="18"/>
              </w:rPr>
            </w:pPr>
          </w:p>
        </w:tc>
      </w:tr>
      <w:tr w14:paraId="198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0945CD2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22</w:t>
            </w:r>
          </w:p>
        </w:tc>
        <w:tc>
          <w:tcPr>
            <w:tcW w:w="8548" w:type="dxa"/>
            <w:vAlign w:val="center"/>
          </w:tcPr>
          <w:p w14:paraId="55DCFAA2">
            <w:pPr>
              <w:spacing w:line="460" w:lineRule="exact"/>
              <w:rPr>
                <w:rFonts w:hint="eastAsia" w:ascii="宋体" w:hAnsi="宋体" w:eastAsia="宋体" w:cs="宋体"/>
                <w:sz w:val="18"/>
                <w:szCs w:val="18"/>
              </w:rPr>
            </w:pPr>
            <w:r>
              <w:rPr>
                <w:rFonts w:hint="eastAsia" w:ascii="宋体" w:hAnsi="宋体" w:eastAsia="宋体" w:cs="宋体"/>
                <w:sz w:val="18"/>
                <w:szCs w:val="18"/>
              </w:rPr>
              <w:t>程裕祯著：《中国文化要略》，外语教学与研究出版社2003年版。</w:t>
            </w:r>
          </w:p>
        </w:tc>
      </w:tr>
      <w:tr w14:paraId="1E9C6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exact"/>
          <w:jc w:val="center"/>
        </w:trPr>
        <w:tc>
          <w:tcPr>
            <w:tcW w:w="800" w:type="dxa"/>
            <w:vAlign w:val="center"/>
          </w:tcPr>
          <w:p w14:paraId="101CFA7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23</w:t>
            </w:r>
          </w:p>
        </w:tc>
        <w:tc>
          <w:tcPr>
            <w:tcW w:w="8548" w:type="dxa"/>
            <w:vAlign w:val="center"/>
          </w:tcPr>
          <w:p w14:paraId="42C1C481">
            <w:pPr>
              <w:spacing w:line="460" w:lineRule="exact"/>
              <w:rPr>
                <w:rFonts w:hint="eastAsia" w:ascii="宋体" w:hAnsi="宋体" w:eastAsia="宋体" w:cs="宋体"/>
                <w:sz w:val="18"/>
                <w:szCs w:val="18"/>
              </w:rPr>
            </w:pPr>
            <w:r>
              <w:rPr>
                <w:rFonts w:hint="eastAsia" w:ascii="宋体" w:hAnsi="宋体" w:eastAsia="宋体" w:cs="宋体"/>
                <w:sz w:val="18"/>
                <w:szCs w:val="18"/>
              </w:rPr>
              <w:t>胡文仲著：《跨文化交际学概论》，外语教学与研究出版社1999年版。</w:t>
            </w:r>
          </w:p>
        </w:tc>
      </w:tr>
      <w:tr w14:paraId="23F21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7207739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24</w:t>
            </w:r>
          </w:p>
        </w:tc>
        <w:tc>
          <w:tcPr>
            <w:tcW w:w="8548" w:type="dxa"/>
            <w:vAlign w:val="center"/>
          </w:tcPr>
          <w:p w14:paraId="22EAC772">
            <w:pPr>
              <w:spacing w:line="460" w:lineRule="exact"/>
              <w:jc w:val="left"/>
              <w:rPr>
                <w:rFonts w:hint="eastAsia" w:ascii="宋体" w:hAnsi="宋体" w:eastAsia="宋体" w:cs="宋体"/>
                <w:sz w:val="18"/>
                <w:szCs w:val="18"/>
              </w:rPr>
            </w:pPr>
            <w:r>
              <w:rPr>
                <w:rFonts w:hint="eastAsia" w:ascii="宋体" w:hAnsi="宋体" w:eastAsia="宋体" w:cs="宋体"/>
                <w:sz w:val="18"/>
                <w:szCs w:val="18"/>
              </w:rPr>
              <w:t>李麟主编：《地域文化常识》，北岳文艺出版社2010年版。</w:t>
            </w:r>
          </w:p>
        </w:tc>
      </w:tr>
      <w:tr w14:paraId="58C04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1908E278">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25</w:t>
            </w:r>
          </w:p>
        </w:tc>
        <w:tc>
          <w:tcPr>
            <w:tcW w:w="8548" w:type="dxa"/>
            <w:vAlign w:val="center"/>
          </w:tcPr>
          <w:p w14:paraId="04E4CE05">
            <w:pPr>
              <w:rPr>
                <w:rFonts w:hint="eastAsia" w:ascii="宋体" w:hAnsi="宋体" w:eastAsia="宋体" w:cs="宋体"/>
                <w:sz w:val="18"/>
                <w:szCs w:val="18"/>
              </w:rPr>
            </w:pPr>
            <w:r>
              <w:rPr>
                <w:rFonts w:hint="eastAsia" w:ascii="宋体" w:hAnsi="宋体" w:eastAsia="宋体" w:cs="宋体"/>
                <w:sz w:val="18"/>
                <w:szCs w:val="18"/>
              </w:rPr>
              <w:t>李学爱编著：《跨文化交流：中西方交往的习俗和语言》，天津大学出版社2007年版。</w:t>
            </w:r>
          </w:p>
        </w:tc>
      </w:tr>
      <w:tr w14:paraId="3CBA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exact"/>
          <w:jc w:val="center"/>
        </w:trPr>
        <w:tc>
          <w:tcPr>
            <w:tcW w:w="800" w:type="dxa"/>
            <w:vAlign w:val="center"/>
          </w:tcPr>
          <w:p w14:paraId="627E02C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26</w:t>
            </w:r>
          </w:p>
        </w:tc>
        <w:tc>
          <w:tcPr>
            <w:tcW w:w="8548" w:type="dxa"/>
            <w:vAlign w:val="center"/>
          </w:tcPr>
          <w:p w14:paraId="173DE656">
            <w:pPr>
              <w:spacing w:line="460" w:lineRule="exact"/>
              <w:rPr>
                <w:rFonts w:hint="eastAsia" w:ascii="宋体" w:hAnsi="宋体" w:eastAsia="宋体" w:cs="宋体"/>
                <w:sz w:val="18"/>
                <w:szCs w:val="18"/>
              </w:rPr>
            </w:pPr>
            <w:r>
              <w:rPr>
                <w:rFonts w:hint="eastAsia" w:ascii="宋体" w:hAnsi="宋体" w:eastAsia="宋体" w:cs="宋体"/>
                <w:sz w:val="18"/>
                <w:szCs w:val="18"/>
              </w:rPr>
              <w:t>文秋芳等著：《应用语言学研究方法与论文写作（中文版）》，外语教学与研究出版社2004年版。</w:t>
            </w:r>
          </w:p>
        </w:tc>
      </w:tr>
      <w:tr w14:paraId="1FCBC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exact"/>
          <w:jc w:val="center"/>
        </w:trPr>
        <w:tc>
          <w:tcPr>
            <w:tcW w:w="800" w:type="dxa"/>
            <w:vAlign w:val="center"/>
          </w:tcPr>
          <w:p w14:paraId="4F6C927E">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27</w:t>
            </w:r>
          </w:p>
        </w:tc>
        <w:tc>
          <w:tcPr>
            <w:tcW w:w="8548" w:type="dxa"/>
            <w:vAlign w:val="center"/>
          </w:tcPr>
          <w:p w14:paraId="133CD533">
            <w:pPr>
              <w:spacing w:line="460" w:lineRule="exact"/>
              <w:rPr>
                <w:rFonts w:hint="eastAsia" w:ascii="宋体" w:hAnsi="宋体" w:eastAsia="宋体" w:cs="宋体"/>
                <w:sz w:val="18"/>
                <w:szCs w:val="18"/>
              </w:rPr>
            </w:pPr>
            <w:r>
              <w:rPr>
                <w:rFonts w:hint="eastAsia" w:ascii="宋体" w:hAnsi="宋体" w:eastAsia="宋体" w:cs="宋体"/>
                <w:sz w:val="18"/>
                <w:szCs w:val="18"/>
              </w:rPr>
              <w:t>汉办主编：《国际汉语教学通用课程大纲》，北京语言大学出版社2014年版</w:t>
            </w:r>
          </w:p>
        </w:tc>
      </w:tr>
      <w:tr w14:paraId="6542C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exact"/>
          <w:jc w:val="center"/>
        </w:trPr>
        <w:tc>
          <w:tcPr>
            <w:tcW w:w="800" w:type="dxa"/>
            <w:vAlign w:val="center"/>
          </w:tcPr>
          <w:p w14:paraId="68C9A766">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28</w:t>
            </w:r>
          </w:p>
        </w:tc>
        <w:tc>
          <w:tcPr>
            <w:tcW w:w="8548" w:type="dxa"/>
            <w:vAlign w:val="center"/>
          </w:tcPr>
          <w:p w14:paraId="1B27E9D8">
            <w:pPr>
              <w:spacing w:line="460" w:lineRule="exact"/>
              <w:rPr>
                <w:rFonts w:hint="eastAsia" w:ascii="宋体" w:hAnsi="宋体" w:eastAsia="宋体" w:cs="宋体"/>
                <w:sz w:val="18"/>
                <w:szCs w:val="18"/>
              </w:rPr>
            </w:pPr>
            <w:r>
              <w:rPr>
                <w:rFonts w:hint="eastAsia" w:ascii="宋体" w:hAnsi="宋体" w:eastAsia="宋体" w:cs="宋体"/>
                <w:sz w:val="18"/>
                <w:szCs w:val="18"/>
              </w:rPr>
              <w:t>汉办主编：《国际汉语教师标准》，外语教学与研究出版社2007年版。</w:t>
            </w:r>
          </w:p>
        </w:tc>
      </w:tr>
      <w:tr w14:paraId="1F245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exact"/>
          <w:jc w:val="center"/>
        </w:trPr>
        <w:tc>
          <w:tcPr>
            <w:tcW w:w="800" w:type="dxa"/>
            <w:vAlign w:val="center"/>
          </w:tcPr>
          <w:p w14:paraId="4E8A8FE4">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29</w:t>
            </w:r>
          </w:p>
        </w:tc>
        <w:tc>
          <w:tcPr>
            <w:tcW w:w="8548" w:type="dxa"/>
            <w:vAlign w:val="center"/>
          </w:tcPr>
          <w:p w14:paraId="34BF04B5">
            <w:pPr>
              <w:spacing w:line="460" w:lineRule="exact"/>
              <w:rPr>
                <w:rFonts w:hint="eastAsia" w:ascii="宋体" w:hAnsi="宋体" w:eastAsia="宋体" w:cs="宋体"/>
                <w:sz w:val="18"/>
                <w:szCs w:val="18"/>
              </w:rPr>
            </w:pPr>
            <w:r>
              <w:rPr>
                <w:rFonts w:hint="eastAsia" w:ascii="宋体" w:hAnsi="宋体" w:eastAsia="宋体" w:cs="宋体"/>
                <w:sz w:val="18"/>
                <w:szCs w:val="18"/>
              </w:rPr>
              <w:t>教育部中外语言交流与合作中心编：《国际中文教育中文水平等级标准》，北京语言大学出版社2021年版。</w:t>
            </w:r>
          </w:p>
        </w:tc>
      </w:tr>
      <w:tr w14:paraId="5A14B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exact"/>
          <w:jc w:val="center"/>
        </w:trPr>
        <w:tc>
          <w:tcPr>
            <w:tcW w:w="800" w:type="dxa"/>
            <w:vAlign w:val="center"/>
          </w:tcPr>
          <w:p w14:paraId="500F3A1C">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30</w:t>
            </w:r>
          </w:p>
        </w:tc>
        <w:tc>
          <w:tcPr>
            <w:tcW w:w="8548" w:type="dxa"/>
            <w:vAlign w:val="center"/>
          </w:tcPr>
          <w:p w14:paraId="73352D38">
            <w:pPr>
              <w:spacing w:line="460" w:lineRule="exact"/>
              <w:rPr>
                <w:rFonts w:hint="eastAsia" w:ascii="宋体" w:hAnsi="宋体" w:eastAsia="宋体" w:cs="宋体"/>
                <w:sz w:val="18"/>
                <w:szCs w:val="18"/>
              </w:rPr>
            </w:pPr>
            <w:r>
              <w:rPr>
                <w:rFonts w:hint="eastAsia" w:ascii="宋体" w:hAnsi="宋体" w:eastAsia="宋体" w:cs="宋体"/>
                <w:sz w:val="18"/>
                <w:szCs w:val="18"/>
              </w:rPr>
              <w:t>《中国语文》，中国社会科学院语言研究所。</w:t>
            </w:r>
          </w:p>
        </w:tc>
      </w:tr>
      <w:tr w14:paraId="4776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exact"/>
          <w:jc w:val="center"/>
        </w:trPr>
        <w:tc>
          <w:tcPr>
            <w:tcW w:w="800" w:type="dxa"/>
            <w:vAlign w:val="center"/>
          </w:tcPr>
          <w:p w14:paraId="66C44C1B">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31</w:t>
            </w:r>
          </w:p>
        </w:tc>
        <w:tc>
          <w:tcPr>
            <w:tcW w:w="8548" w:type="dxa"/>
            <w:vAlign w:val="center"/>
          </w:tcPr>
          <w:p w14:paraId="13A8A2B2">
            <w:pPr>
              <w:spacing w:line="460" w:lineRule="exact"/>
              <w:rPr>
                <w:rFonts w:hint="eastAsia" w:ascii="宋体" w:hAnsi="宋体" w:eastAsia="宋体" w:cs="宋体"/>
                <w:sz w:val="18"/>
                <w:szCs w:val="18"/>
              </w:rPr>
            </w:pPr>
            <w:r>
              <w:rPr>
                <w:rFonts w:hint="eastAsia" w:ascii="宋体" w:hAnsi="宋体" w:eastAsia="宋体" w:cs="宋体"/>
                <w:sz w:val="18"/>
                <w:szCs w:val="18"/>
              </w:rPr>
              <w:t xml:space="preserve">《世界汉语教学》, 北京语言大学。  </w:t>
            </w:r>
          </w:p>
        </w:tc>
      </w:tr>
      <w:tr w14:paraId="7BE2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exact"/>
          <w:jc w:val="center"/>
        </w:trPr>
        <w:tc>
          <w:tcPr>
            <w:tcW w:w="800" w:type="dxa"/>
            <w:vAlign w:val="center"/>
          </w:tcPr>
          <w:p w14:paraId="1D004FF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32</w:t>
            </w:r>
          </w:p>
        </w:tc>
        <w:tc>
          <w:tcPr>
            <w:tcW w:w="8548" w:type="dxa"/>
            <w:vAlign w:val="center"/>
          </w:tcPr>
          <w:p w14:paraId="30099D43">
            <w:pPr>
              <w:spacing w:line="460" w:lineRule="exact"/>
              <w:rPr>
                <w:rFonts w:hint="eastAsia" w:ascii="宋体" w:hAnsi="宋体" w:eastAsia="宋体" w:cs="宋体"/>
                <w:sz w:val="18"/>
                <w:szCs w:val="18"/>
              </w:rPr>
            </w:pPr>
            <w:r>
              <w:rPr>
                <w:rFonts w:hint="eastAsia" w:ascii="宋体" w:hAnsi="宋体" w:eastAsia="宋体" w:cs="宋体"/>
                <w:sz w:val="18"/>
                <w:szCs w:val="18"/>
              </w:rPr>
              <w:t>《语言教学与研究》, 北京语言大学。</w:t>
            </w:r>
          </w:p>
        </w:tc>
      </w:tr>
      <w:tr w14:paraId="2DC8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exact"/>
          <w:jc w:val="center"/>
        </w:trPr>
        <w:tc>
          <w:tcPr>
            <w:tcW w:w="800" w:type="dxa"/>
            <w:vAlign w:val="center"/>
          </w:tcPr>
          <w:p w14:paraId="4C8F256D">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33</w:t>
            </w:r>
          </w:p>
        </w:tc>
        <w:tc>
          <w:tcPr>
            <w:tcW w:w="8548" w:type="dxa"/>
            <w:vAlign w:val="center"/>
          </w:tcPr>
          <w:p w14:paraId="2A9B95A6">
            <w:pPr>
              <w:spacing w:line="460" w:lineRule="exact"/>
              <w:rPr>
                <w:rFonts w:hint="eastAsia" w:ascii="宋体" w:hAnsi="宋体" w:eastAsia="宋体" w:cs="宋体"/>
                <w:sz w:val="18"/>
                <w:szCs w:val="18"/>
              </w:rPr>
            </w:pPr>
            <w:r>
              <w:rPr>
                <w:rFonts w:hint="eastAsia" w:ascii="宋体" w:hAnsi="宋体" w:eastAsia="宋体" w:cs="宋体"/>
                <w:sz w:val="18"/>
                <w:szCs w:val="18"/>
              </w:rPr>
              <w:t>《汉语学习》，延边大学。</w:t>
            </w:r>
          </w:p>
        </w:tc>
      </w:tr>
      <w:tr w14:paraId="12763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3" w:hRule="exact"/>
          <w:jc w:val="center"/>
        </w:trPr>
        <w:tc>
          <w:tcPr>
            <w:tcW w:w="800" w:type="dxa"/>
            <w:vAlign w:val="center"/>
          </w:tcPr>
          <w:p w14:paraId="0B6CA48F">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34</w:t>
            </w:r>
          </w:p>
        </w:tc>
        <w:tc>
          <w:tcPr>
            <w:tcW w:w="8548" w:type="dxa"/>
            <w:vAlign w:val="center"/>
          </w:tcPr>
          <w:p w14:paraId="61F1C096">
            <w:pPr>
              <w:spacing w:line="460" w:lineRule="exact"/>
              <w:rPr>
                <w:rFonts w:hint="eastAsia" w:ascii="宋体" w:hAnsi="宋体" w:eastAsia="宋体" w:cs="宋体"/>
                <w:sz w:val="18"/>
                <w:szCs w:val="18"/>
              </w:rPr>
            </w:pPr>
            <w:r>
              <w:rPr>
                <w:rFonts w:hint="eastAsia" w:ascii="宋体" w:hAnsi="宋体" w:eastAsia="宋体" w:cs="宋体"/>
                <w:sz w:val="18"/>
                <w:szCs w:val="18"/>
              </w:rPr>
              <w:t>《国际汉语教学研究》，北京语言大学。</w:t>
            </w:r>
          </w:p>
        </w:tc>
      </w:tr>
      <w:tr w14:paraId="4E65A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5BDC1A2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35</w:t>
            </w:r>
          </w:p>
        </w:tc>
        <w:tc>
          <w:tcPr>
            <w:tcW w:w="8548" w:type="dxa"/>
            <w:vAlign w:val="center"/>
          </w:tcPr>
          <w:p w14:paraId="25E49CF1">
            <w:pPr>
              <w:spacing w:line="460" w:lineRule="exact"/>
              <w:rPr>
                <w:rFonts w:hint="eastAsia" w:ascii="宋体" w:hAnsi="宋体" w:eastAsia="宋体" w:cs="宋体"/>
                <w:sz w:val="18"/>
                <w:szCs w:val="18"/>
              </w:rPr>
            </w:pPr>
            <w:r>
              <w:rPr>
                <w:rFonts w:hint="eastAsia" w:ascii="宋体" w:hAnsi="宋体" w:eastAsia="宋体" w:cs="宋体"/>
                <w:sz w:val="18"/>
                <w:szCs w:val="18"/>
              </w:rPr>
              <w:t>《云南师范大学学报》（对外汉语教学与研究版），云南师范大学。</w:t>
            </w:r>
          </w:p>
        </w:tc>
      </w:tr>
      <w:tr w14:paraId="55605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2BF7E7FA">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36</w:t>
            </w:r>
          </w:p>
        </w:tc>
        <w:tc>
          <w:tcPr>
            <w:tcW w:w="8548" w:type="dxa"/>
            <w:vAlign w:val="center"/>
          </w:tcPr>
          <w:p w14:paraId="608B26E7">
            <w:pPr>
              <w:spacing w:line="460" w:lineRule="exact"/>
              <w:rPr>
                <w:rFonts w:hint="eastAsia" w:ascii="宋体" w:hAnsi="宋体" w:eastAsia="宋体" w:cs="宋体"/>
                <w:sz w:val="18"/>
                <w:szCs w:val="18"/>
              </w:rPr>
            </w:pPr>
            <w:r>
              <w:rPr>
                <w:rFonts w:hint="eastAsia" w:ascii="宋体" w:hAnsi="宋体" w:eastAsia="宋体" w:cs="宋体"/>
                <w:sz w:val="18"/>
                <w:szCs w:val="18"/>
              </w:rPr>
              <w:t>《汉语学报》，华中师范大学。</w:t>
            </w:r>
          </w:p>
        </w:tc>
      </w:tr>
      <w:tr w14:paraId="6C97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exact"/>
          <w:jc w:val="center"/>
        </w:trPr>
        <w:tc>
          <w:tcPr>
            <w:tcW w:w="800" w:type="dxa"/>
            <w:vAlign w:val="center"/>
          </w:tcPr>
          <w:p w14:paraId="6C1895D9">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37</w:t>
            </w:r>
          </w:p>
        </w:tc>
        <w:tc>
          <w:tcPr>
            <w:tcW w:w="8548" w:type="dxa"/>
            <w:vAlign w:val="center"/>
          </w:tcPr>
          <w:p w14:paraId="0639A5BD">
            <w:pPr>
              <w:spacing w:line="460" w:lineRule="exact"/>
              <w:rPr>
                <w:rFonts w:hint="eastAsia" w:ascii="宋体" w:hAnsi="宋体" w:eastAsia="宋体" w:cs="宋体"/>
                <w:sz w:val="18"/>
                <w:szCs w:val="18"/>
              </w:rPr>
            </w:pPr>
            <w:r>
              <w:rPr>
                <w:rFonts w:hint="eastAsia" w:ascii="宋体" w:hAnsi="宋体" w:eastAsia="宋体" w:cs="宋体"/>
                <w:sz w:val="18"/>
                <w:szCs w:val="18"/>
              </w:rPr>
              <w:t>《汉语教学学刊》，北京大学对外汉语教育学院。</w:t>
            </w:r>
          </w:p>
        </w:tc>
      </w:tr>
      <w:tr w14:paraId="6DA12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1D4CC740">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38</w:t>
            </w:r>
          </w:p>
        </w:tc>
        <w:tc>
          <w:tcPr>
            <w:tcW w:w="8548" w:type="dxa"/>
            <w:vAlign w:val="center"/>
          </w:tcPr>
          <w:p w14:paraId="2584AB02">
            <w:pPr>
              <w:spacing w:line="460" w:lineRule="exact"/>
              <w:rPr>
                <w:rFonts w:hint="eastAsia" w:ascii="宋体" w:hAnsi="宋体" w:eastAsia="宋体" w:cs="宋体"/>
                <w:sz w:val="18"/>
                <w:szCs w:val="18"/>
              </w:rPr>
            </w:pPr>
            <w:r>
              <w:rPr>
                <w:rFonts w:hint="eastAsia" w:ascii="宋体" w:hAnsi="宋体" w:eastAsia="宋体" w:cs="宋体"/>
                <w:sz w:val="18"/>
                <w:szCs w:val="18"/>
              </w:rPr>
              <w:t>《对外汉语研究》，上海师范大学。</w:t>
            </w:r>
          </w:p>
        </w:tc>
      </w:tr>
      <w:tr w14:paraId="7882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exact"/>
          <w:jc w:val="center"/>
        </w:trPr>
        <w:tc>
          <w:tcPr>
            <w:tcW w:w="800" w:type="dxa"/>
            <w:vAlign w:val="center"/>
          </w:tcPr>
          <w:p w14:paraId="5B5BE6DC">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39</w:t>
            </w:r>
          </w:p>
        </w:tc>
        <w:tc>
          <w:tcPr>
            <w:tcW w:w="8548" w:type="dxa"/>
            <w:vAlign w:val="center"/>
          </w:tcPr>
          <w:p w14:paraId="6FB471E4">
            <w:pPr>
              <w:spacing w:line="460" w:lineRule="exact"/>
              <w:rPr>
                <w:rFonts w:hint="eastAsia" w:ascii="宋体" w:hAnsi="宋体" w:eastAsia="宋体" w:cs="宋体"/>
                <w:sz w:val="18"/>
                <w:szCs w:val="18"/>
              </w:rPr>
            </w:pPr>
            <w:r>
              <w:rPr>
                <w:rFonts w:hint="eastAsia" w:ascii="宋体" w:hAnsi="宋体" w:eastAsia="宋体" w:cs="宋体"/>
                <w:sz w:val="18"/>
                <w:szCs w:val="18"/>
              </w:rPr>
              <w:t>《国际中文教育》（中英文），北京外国语大学。</w:t>
            </w:r>
          </w:p>
        </w:tc>
      </w:tr>
      <w:tr w14:paraId="4B0C6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exact"/>
          <w:jc w:val="center"/>
        </w:trPr>
        <w:tc>
          <w:tcPr>
            <w:tcW w:w="800" w:type="dxa"/>
            <w:vAlign w:val="center"/>
          </w:tcPr>
          <w:p w14:paraId="3533CD85">
            <w:pPr>
              <w:spacing w:line="460" w:lineRule="exact"/>
              <w:jc w:val="center"/>
              <w:rPr>
                <w:rFonts w:hint="eastAsia" w:ascii="宋体" w:hAnsi="宋体" w:eastAsia="宋体" w:cs="宋体"/>
                <w:sz w:val="18"/>
                <w:szCs w:val="18"/>
              </w:rPr>
            </w:pPr>
            <w:r>
              <w:rPr>
                <w:rFonts w:hint="eastAsia" w:ascii="宋体" w:hAnsi="宋体" w:eastAsia="宋体" w:cs="宋体"/>
                <w:sz w:val="18"/>
                <w:szCs w:val="18"/>
              </w:rPr>
              <w:t>40</w:t>
            </w:r>
          </w:p>
        </w:tc>
        <w:tc>
          <w:tcPr>
            <w:tcW w:w="8548" w:type="dxa"/>
            <w:vAlign w:val="center"/>
          </w:tcPr>
          <w:p w14:paraId="1F60438E">
            <w:pPr>
              <w:spacing w:line="460" w:lineRule="exact"/>
              <w:rPr>
                <w:rFonts w:hint="eastAsia" w:ascii="宋体" w:hAnsi="宋体" w:eastAsia="宋体" w:cs="宋体"/>
                <w:sz w:val="18"/>
                <w:szCs w:val="18"/>
              </w:rPr>
            </w:pPr>
            <w:r>
              <w:rPr>
                <w:rFonts w:hint="eastAsia" w:ascii="宋体" w:hAnsi="宋体" w:eastAsia="宋体" w:cs="宋体"/>
                <w:sz w:val="18"/>
                <w:szCs w:val="18"/>
              </w:rPr>
              <w:t>Ellis, R. Second Language Acquisition. Oxford: Oxford University Press， 1997.</w:t>
            </w:r>
          </w:p>
        </w:tc>
      </w:tr>
    </w:tbl>
    <w:p w14:paraId="362779C8">
      <w:pPr>
        <w:rPr>
          <w:rFonts w:hint="eastAsia" w:asciiTheme="minorEastAsia" w:hAnsiTheme="minorEastAsia"/>
          <w:sz w:val="18"/>
          <w:szCs w:val="18"/>
        </w:rPr>
      </w:pPr>
    </w:p>
    <w:p w14:paraId="2377C7DF">
      <w:pPr>
        <w:rPr>
          <w:rFonts w:hint="eastAsia" w:asciiTheme="minorEastAsia" w:hAnsiTheme="minorEastAsia"/>
          <w:sz w:val="18"/>
          <w:szCs w:val="18"/>
        </w:rPr>
      </w:pPr>
    </w:p>
    <w:sectPr>
      <w:pgSz w:w="11906" w:h="16838"/>
      <w:pgMar w:top="1440" w:right="1797" w:bottom="1157"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78F9B">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E7D42FE">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5E7D42FE">
                    <w:pPr>
                      <w:pStyle w:val="8"/>
                    </w:pPr>
                    <w:r>
                      <w:fldChar w:fldCharType="begin"/>
                    </w:r>
                    <w:r>
                      <w:instrText xml:space="preserve"> PAGE  \* MERGEFORMAT </w:instrText>
                    </w:r>
                    <w:r>
                      <w:fldChar w:fldCharType="separate"/>
                    </w:r>
                    <w:r>
                      <w:t>9</w:t>
                    </w:r>
                    <w:r>
                      <w:fldChar w:fldCharType="end"/>
                    </w:r>
                  </w:p>
                </w:txbxContent>
              </v:textbox>
            </v:shape>
          </w:pict>
        </mc:Fallback>
      </mc:AlternateContent>
    </w:r>
  </w:p>
  <w:p w14:paraId="76CCF670">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1410E5"/>
    <w:multiLevelType w:val="singleLevel"/>
    <w:tmpl w:val="A41410E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jOWYxMTA5NDNiZTU1ZWY0NWEwNDRlNjJlZGZkNzcifQ=="/>
  </w:docVars>
  <w:rsids>
    <w:rsidRoot w:val="00B4342E"/>
    <w:rsid w:val="00011D74"/>
    <w:rsid w:val="00021B34"/>
    <w:rsid w:val="00030E6D"/>
    <w:rsid w:val="00034591"/>
    <w:rsid w:val="00042211"/>
    <w:rsid w:val="000456F4"/>
    <w:rsid w:val="00047E98"/>
    <w:rsid w:val="00053986"/>
    <w:rsid w:val="00054E89"/>
    <w:rsid w:val="00060130"/>
    <w:rsid w:val="00067C23"/>
    <w:rsid w:val="0007424E"/>
    <w:rsid w:val="0008193E"/>
    <w:rsid w:val="00092A75"/>
    <w:rsid w:val="00094725"/>
    <w:rsid w:val="00096F49"/>
    <w:rsid w:val="000C6B23"/>
    <w:rsid w:val="000D01FD"/>
    <w:rsid w:val="000D0E65"/>
    <w:rsid w:val="000D2F52"/>
    <w:rsid w:val="000D3C55"/>
    <w:rsid w:val="000D44E8"/>
    <w:rsid w:val="000D62F1"/>
    <w:rsid w:val="000E7094"/>
    <w:rsid w:val="000F530D"/>
    <w:rsid w:val="0010015A"/>
    <w:rsid w:val="0010090E"/>
    <w:rsid w:val="00111F5F"/>
    <w:rsid w:val="001170CE"/>
    <w:rsid w:val="00122E92"/>
    <w:rsid w:val="00124BEA"/>
    <w:rsid w:val="00130AF5"/>
    <w:rsid w:val="00131161"/>
    <w:rsid w:val="0013528A"/>
    <w:rsid w:val="00164451"/>
    <w:rsid w:val="00176D69"/>
    <w:rsid w:val="001771DE"/>
    <w:rsid w:val="00182501"/>
    <w:rsid w:val="0019503B"/>
    <w:rsid w:val="00195477"/>
    <w:rsid w:val="00196B2A"/>
    <w:rsid w:val="001A3F8A"/>
    <w:rsid w:val="001A52A4"/>
    <w:rsid w:val="001D7DAE"/>
    <w:rsid w:val="001E1588"/>
    <w:rsid w:val="001E2AC3"/>
    <w:rsid w:val="001E3150"/>
    <w:rsid w:val="001E4092"/>
    <w:rsid w:val="001F3538"/>
    <w:rsid w:val="001F3FC3"/>
    <w:rsid w:val="00203A1C"/>
    <w:rsid w:val="00207173"/>
    <w:rsid w:val="002664D7"/>
    <w:rsid w:val="002670EC"/>
    <w:rsid w:val="002800D0"/>
    <w:rsid w:val="00290561"/>
    <w:rsid w:val="00292EAA"/>
    <w:rsid w:val="00293452"/>
    <w:rsid w:val="002B1C9A"/>
    <w:rsid w:val="002B3B15"/>
    <w:rsid w:val="002E711F"/>
    <w:rsid w:val="002F4BC8"/>
    <w:rsid w:val="00301033"/>
    <w:rsid w:val="00306811"/>
    <w:rsid w:val="00310460"/>
    <w:rsid w:val="00310C07"/>
    <w:rsid w:val="0031227D"/>
    <w:rsid w:val="00340D95"/>
    <w:rsid w:val="00342721"/>
    <w:rsid w:val="00350E8A"/>
    <w:rsid w:val="003562B0"/>
    <w:rsid w:val="00361B17"/>
    <w:rsid w:val="00373026"/>
    <w:rsid w:val="00374A14"/>
    <w:rsid w:val="00374CC0"/>
    <w:rsid w:val="00376B7E"/>
    <w:rsid w:val="00377E69"/>
    <w:rsid w:val="00387667"/>
    <w:rsid w:val="003A024C"/>
    <w:rsid w:val="003A459B"/>
    <w:rsid w:val="003D1FF6"/>
    <w:rsid w:val="003D645D"/>
    <w:rsid w:val="003D7A39"/>
    <w:rsid w:val="003E5C33"/>
    <w:rsid w:val="003E5D57"/>
    <w:rsid w:val="003F078E"/>
    <w:rsid w:val="003F183F"/>
    <w:rsid w:val="00403E45"/>
    <w:rsid w:val="0040589A"/>
    <w:rsid w:val="00416859"/>
    <w:rsid w:val="00423FEE"/>
    <w:rsid w:val="004263D0"/>
    <w:rsid w:val="00427086"/>
    <w:rsid w:val="00431449"/>
    <w:rsid w:val="00440BD5"/>
    <w:rsid w:val="00443AFC"/>
    <w:rsid w:val="00444CCA"/>
    <w:rsid w:val="0045133B"/>
    <w:rsid w:val="00451A1C"/>
    <w:rsid w:val="00456B38"/>
    <w:rsid w:val="00460702"/>
    <w:rsid w:val="00463DAB"/>
    <w:rsid w:val="00463E11"/>
    <w:rsid w:val="00465E8D"/>
    <w:rsid w:val="0047470D"/>
    <w:rsid w:val="00476F98"/>
    <w:rsid w:val="004A44C3"/>
    <w:rsid w:val="004A6DA6"/>
    <w:rsid w:val="004A7141"/>
    <w:rsid w:val="004B50E1"/>
    <w:rsid w:val="004B704B"/>
    <w:rsid w:val="004C1D59"/>
    <w:rsid w:val="004D104D"/>
    <w:rsid w:val="004D4C35"/>
    <w:rsid w:val="004D5743"/>
    <w:rsid w:val="004F5378"/>
    <w:rsid w:val="004F67E7"/>
    <w:rsid w:val="004F6F3B"/>
    <w:rsid w:val="00507C7B"/>
    <w:rsid w:val="0051501D"/>
    <w:rsid w:val="00522659"/>
    <w:rsid w:val="005336E6"/>
    <w:rsid w:val="005535D7"/>
    <w:rsid w:val="00553AE5"/>
    <w:rsid w:val="005555AD"/>
    <w:rsid w:val="005560B6"/>
    <w:rsid w:val="005560EC"/>
    <w:rsid w:val="005666E6"/>
    <w:rsid w:val="00571625"/>
    <w:rsid w:val="00572FAD"/>
    <w:rsid w:val="005768E0"/>
    <w:rsid w:val="005821F9"/>
    <w:rsid w:val="00583FC7"/>
    <w:rsid w:val="005912ED"/>
    <w:rsid w:val="005913F4"/>
    <w:rsid w:val="00597B24"/>
    <w:rsid w:val="00597D77"/>
    <w:rsid w:val="005A093D"/>
    <w:rsid w:val="005A623F"/>
    <w:rsid w:val="005A74E7"/>
    <w:rsid w:val="005B27A7"/>
    <w:rsid w:val="005B3E5D"/>
    <w:rsid w:val="005B4E63"/>
    <w:rsid w:val="005C36BB"/>
    <w:rsid w:val="005C3F8D"/>
    <w:rsid w:val="005C5409"/>
    <w:rsid w:val="005D5479"/>
    <w:rsid w:val="005D5E01"/>
    <w:rsid w:val="005E0528"/>
    <w:rsid w:val="005E36FF"/>
    <w:rsid w:val="00610156"/>
    <w:rsid w:val="00612CA9"/>
    <w:rsid w:val="00622B8F"/>
    <w:rsid w:val="00624AE4"/>
    <w:rsid w:val="006251A0"/>
    <w:rsid w:val="0063395C"/>
    <w:rsid w:val="00633A4B"/>
    <w:rsid w:val="00647993"/>
    <w:rsid w:val="00652D07"/>
    <w:rsid w:val="006670A3"/>
    <w:rsid w:val="00671598"/>
    <w:rsid w:val="00672807"/>
    <w:rsid w:val="00676012"/>
    <w:rsid w:val="00676CE4"/>
    <w:rsid w:val="00681E92"/>
    <w:rsid w:val="006A5C8E"/>
    <w:rsid w:val="006D105F"/>
    <w:rsid w:val="006D1783"/>
    <w:rsid w:val="006E6201"/>
    <w:rsid w:val="006E6827"/>
    <w:rsid w:val="006F7E96"/>
    <w:rsid w:val="0070003F"/>
    <w:rsid w:val="007003AD"/>
    <w:rsid w:val="007179E7"/>
    <w:rsid w:val="00725DA9"/>
    <w:rsid w:val="007452A4"/>
    <w:rsid w:val="007541AA"/>
    <w:rsid w:val="007579D2"/>
    <w:rsid w:val="00771441"/>
    <w:rsid w:val="007754C1"/>
    <w:rsid w:val="007760D1"/>
    <w:rsid w:val="007772B5"/>
    <w:rsid w:val="00793E9E"/>
    <w:rsid w:val="00793FDB"/>
    <w:rsid w:val="007A17E9"/>
    <w:rsid w:val="007B3D86"/>
    <w:rsid w:val="007C3508"/>
    <w:rsid w:val="007D3E6E"/>
    <w:rsid w:val="007D602A"/>
    <w:rsid w:val="007D651B"/>
    <w:rsid w:val="007D68E1"/>
    <w:rsid w:val="007F4634"/>
    <w:rsid w:val="007F5008"/>
    <w:rsid w:val="00800518"/>
    <w:rsid w:val="00800BD9"/>
    <w:rsid w:val="008135D1"/>
    <w:rsid w:val="00822518"/>
    <w:rsid w:val="00824B5A"/>
    <w:rsid w:val="0082545B"/>
    <w:rsid w:val="00857858"/>
    <w:rsid w:val="00863AAB"/>
    <w:rsid w:val="00864B4F"/>
    <w:rsid w:val="0086694B"/>
    <w:rsid w:val="00870926"/>
    <w:rsid w:val="00884111"/>
    <w:rsid w:val="00887CFA"/>
    <w:rsid w:val="0089427A"/>
    <w:rsid w:val="008A02AB"/>
    <w:rsid w:val="008A2B23"/>
    <w:rsid w:val="008A47EB"/>
    <w:rsid w:val="008A562A"/>
    <w:rsid w:val="008A5E5B"/>
    <w:rsid w:val="008B3647"/>
    <w:rsid w:val="008B53F5"/>
    <w:rsid w:val="008B7C4F"/>
    <w:rsid w:val="008C0235"/>
    <w:rsid w:val="008C42F4"/>
    <w:rsid w:val="008D0BD3"/>
    <w:rsid w:val="008D58A2"/>
    <w:rsid w:val="008D6D64"/>
    <w:rsid w:val="008D6F6E"/>
    <w:rsid w:val="008E0F7B"/>
    <w:rsid w:val="008E6824"/>
    <w:rsid w:val="008F3A4B"/>
    <w:rsid w:val="00912502"/>
    <w:rsid w:val="009214F5"/>
    <w:rsid w:val="0092581A"/>
    <w:rsid w:val="009317FA"/>
    <w:rsid w:val="009402E0"/>
    <w:rsid w:val="00940C52"/>
    <w:rsid w:val="0094402A"/>
    <w:rsid w:val="00945AFB"/>
    <w:rsid w:val="009471F6"/>
    <w:rsid w:val="00953556"/>
    <w:rsid w:val="00960793"/>
    <w:rsid w:val="00965846"/>
    <w:rsid w:val="00976CC8"/>
    <w:rsid w:val="00981877"/>
    <w:rsid w:val="009834D3"/>
    <w:rsid w:val="00983859"/>
    <w:rsid w:val="00990A0D"/>
    <w:rsid w:val="00991233"/>
    <w:rsid w:val="009B3B55"/>
    <w:rsid w:val="009C1EF2"/>
    <w:rsid w:val="009C66DB"/>
    <w:rsid w:val="009D5AD9"/>
    <w:rsid w:val="009E7660"/>
    <w:rsid w:val="009F1C81"/>
    <w:rsid w:val="00A10A8D"/>
    <w:rsid w:val="00A11025"/>
    <w:rsid w:val="00A40E86"/>
    <w:rsid w:val="00A41F08"/>
    <w:rsid w:val="00A4201E"/>
    <w:rsid w:val="00A43B53"/>
    <w:rsid w:val="00A53766"/>
    <w:rsid w:val="00A64D32"/>
    <w:rsid w:val="00A65342"/>
    <w:rsid w:val="00A6587F"/>
    <w:rsid w:val="00A66151"/>
    <w:rsid w:val="00A818AB"/>
    <w:rsid w:val="00A90B35"/>
    <w:rsid w:val="00A91DFF"/>
    <w:rsid w:val="00A93773"/>
    <w:rsid w:val="00A94ABA"/>
    <w:rsid w:val="00AA3639"/>
    <w:rsid w:val="00AA55A1"/>
    <w:rsid w:val="00AB1EA1"/>
    <w:rsid w:val="00AB34E0"/>
    <w:rsid w:val="00AB62E1"/>
    <w:rsid w:val="00AD00E3"/>
    <w:rsid w:val="00AD15DD"/>
    <w:rsid w:val="00AD6659"/>
    <w:rsid w:val="00AD6B42"/>
    <w:rsid w:val="00AE51A1"/>
    <w:rsid w:val="00AF10E6"/>
    <w:rsid w:val="00AF2D17"/>
    <w:rsid w:val="00B0252C"/>
    <w:rsid w:val="00B25473"/>
    <w:rsid w:val="00B2681F"/>
    <w:rsid w:val="00B26C85"/>
    <w:rsid w:val="00B311CD"/>
    <w:rsid w:val="00B352B6"/>
    <w:rsid w:val="00B4342E"/>
    <w:rsid w:val="00B4666F"/>
    <w:rsid w:val="00B56E44"/>
    <w:rsid w:val="00B65D0F"/>
    <w:rsid w:val="00B71AB9"/>
    <w:rsid w:val="00B86ABA"/>
    <w:rsid w:val="00B900D3"/>
    <w:rsid w:val="00B94672"/>
    <w:rsid w:val="00BB1230"/>
    <w:rsid w:val="00BB49F7"/>
    <w:rsid w:val="00BC3C5C"/>
    <w:rsid w:val="00BC3EEF"/>
    <w:rsid w:val="00BD2666"/>
    <w:rsid w:val="00BD40D6"/>
    <w:rsid w:val="00BE07E1"/>
    <w:rsid w:val="00BE1E11"/>
    <w:rsid w:val="00BE38FA"/>
    <w:rsid w:val="00BE5E61"/>
    <w:rsid w:val="00C012DE"/>
    <w:rsid w:val="00C01CA1"/>
    <w:rsid w:val="00C01CB5"/>
    <w:rsid w:val="00C1188B"/>
    <w:rsid w:val="00C11B7F"/>
    <w:rsid w:val="00C16506"/>
    <w:rsid w:val="00C331CD"/>
    <w:rsid w:val="00C37050"/>
    <w:rsid w:val="00C40149"/>
    <w:rsid w:val="00C46B8C"/>
    <w:rsid w:val="00C52468"/>
    <w:rsid w:val="00C52998"/>
    <w:rsid w:val="00C55986"/>
    <w:rsid w:val="00C61504"/>
    <w:rsid w:val="00C634F9"/>
    <w:rsid w:val="00C6674F"/>
    <w:rsid w:val="00C81FCB"/>
    <w:rsid w:val="00C83894"/>
    <w:rsid w:val="00C840F0"/>
    <w:rsid w:val="00C92DA3"/>
    <w:rsid w:val="00CB7D14"/>
    <w:rsid w:val="00CC5DE7"/>
    <w:rsid w:val="00CD56AF"/>
    <w:rsid w:val="00CD718C"/>
    <w:rsid w:val="00CE29E1"/>
    <w:rsid w:val="00CF6E94"/>
    <w:rsid w:val="00CF7CDC"/>
    <w:rsid w:val="00D106C9"/>
    <w:rsid w:val="00D11F08"/>
    <w:rsid w:val="00D14B60"/>
    <w:rsid w:val="00D1773E"/>
    <w:rsid w:val="00D4312C"/>
    <w:rsid w:val="00D655DE"/>
    <w:rsid w:val="00D65DD7"/>
    <w:rsid w:val="00D66C86"/>
    <w:rsid w:val="00DA5CF5"/>
    <w:rsid w:val="00DB0A21"/>
    <w:rsid w:val="00DC1516"/>
    <w:rsid w:val="00DC46A9"/>
    <w:rsid w:val="00DD0A35"/>
    <w:rsid w:val="00DD0F91"/>
    <w:rsid w:val="00DD748C"/>
    <w:rsid w:val="00DE1CE4"/>
    <w:rsid w:val="00DE4338"/>
    <w:rsid w:val="00DF06B7"/>
    <w:rsid w:val="00E02F98"/>
    <w:rsid w:val="00E12CB4"/>
    <w:rsid w:val="00E36218"/>
    <w:rsid w:val="00E41863"/>
    <w:rsid w:val="00E51CF6"/>
    <w:rsid w:val="00E638CB"/>
    <w:rsid w:val="00E64219"/>
    <w:rsid w:val="00E70963"/>
    <w:rsid w:val="00E73CAA"/>
    <w:rsid w:val="00E826BE"/>
    <w:rsid w:val="00E828E4"/>
    <w:rsid w:val="00EA19B7"/>
    <w:rsid w:val="00EA531E"/>
    <w:rsid w:val="00EA688B"/>
    <w:rsid w:val="00EA69D8"/>
    <w:rsid w:val="00EB6B4D"/>
    <w:rsid w:val="00EB75D8"/>
    <w:rsid w:val="00EC0950"/>
    <w:rsid w:val="00ED7EDB"/>
    <w:rsid w:val="00EF38BD"/>
    <w:rsid w:val="00F074AE"/>
    <w:rsid w:val="00F12DDA"/>
    <w:rsid w:val="00F24D16"/>
    <w:rsid w:val="00F33519"/>
    <w:rsid w:val="00F52FA3"/>
    <w:rsid w:val="00F56C91"/>
    <w:rsid w:val="00F70720"/>
    <w:rsid w:val="00F725C8"/>
    <w:rsid w:val="00F74405"/>
    <w:rsid w:val="00F80BE7"/>
    <w:rsid w:val="00FA1A77"/>
    <w:rsid w:val="00FA2C30"/>
    <w:rsid w:val="00FA302D"/>
    <w:rsid w:val="00FA3F3F"/>
    <w:rsid w:val="00FC5619"/>
    <w:rsid w:val="00FD6144"/>
    <w:rsid w:val="00FF68DB"/>
    <w:rsid w:val="014448D7"/>
    <w:rsid w:val="022016E6"/>
    <w:rsid w:val="027B10D1"/>
    <w:rsid w:val="03F83707"/>
    <w:rsid w:val="054B5296"/>
    <w:rsid w:val="07FA43C5"/>
    <w:rsid w:val="08F771B8"/>
    <w:rsid w:val="0A333AB9"/>
    <w:rsid w:val="0A64180D"/>
    <w:rsid w:val="0AE453E1"/>
    <w:rsid w:val="0B636179"/>
    <w:rsid w:val="0B703517"/>
    <w:rsid w:val="0DA60A2C"/>
    <w:rsid w:val="0DD07DAD"/>
    <w:rsid w:val="0F157143"/>
    <w:rsid w:val="0F3E5479"/>
    <w:rsid w:val="0F58313A"/>
    <w:rsid w:val="0FC874AB"/>
    <w:rsid w:val="103C2A84"/>
    <w:rsid w:val="108930F0"/>
    <w:rsid w:val="10D816AD"/>
    <w:rsid w:val="11532BD6"/>
    <w:rsid w:val="119A1CC7"/>
    <w:rsid w:val="141A4184"/>
    <w:rsid w:val="142313E0"/>
    <w:rsid w:val="14D82B98"/>
    <w:rsid w:val="158F316E"/>
    <w:rsid w:val="15D25098"/>
    <w:rsid w:val="16D71A18"/>
    <w:rsid w:val="170C5234"/>
    <w:rsid w:val="186962C7"/>
    <w:rsid w:val="188F1C52"/>
    <w:rsid w:val="19941874"/>
    <w:rsid w:val="1B1B6984"/>
    <w:rsid w:val="1B633ADA"/>
    <w:rsid w:val="1B965EE8"/>
    <w:rsid w:val="1BFA36C6"/>
    <w:rsid w:val="1CE3444C"/>
    <w:rsid w:val="1E4B6B4E"/>
    <w:rsid w:val="1E8A2DDD"/>
    <w:rsid w:val="1FA35F43"/>
    <w:rsid w:val="20B61DE1"/>
    <w:rsid w:val="20E73CB5"/>
    <w:rsid w:val="21F93EDC"/>
    <w:rsid w:val="22E77507"/>
    <w:rsid w:val="232727A0"/>
    <w:rsid w:val="23515673"/>
    <w:rsid w:val="23FE5A42"/>
    <w:rsid w:val="24C11373"/>
    <w:rsid w:val="258004B6"/>
    <w:rsid w:val="25AB59B5"/>
    <w:rsid w:val="25AD6DAE"/>
    <w:rsid w:val="26185CFB"/>
    <w:rsid w:val="26466409"/>
    <w:rsid w:val="28500BED"/>
    <w:rsid w:val="292E1D03"/>
    <w:rsid w:val="296922E7"/>
    <w:rsid w:val="2996099A"/>
    <w:rsid w:val="29FC4CCE"/>
    <w:rsid w:val="2A8879DF"/>
    <w:rsid w:val="2BBB74F5"/>
    <w:rsid w:val="2C4A0CB3"/>
    <w:rsid w:val="2C61743F"/>
    <w:rsid w:val="2C9F5E1F"/>
    <w:rsid w:val="2D957F46"/>
    <w:rsid w:val="2DC85A88"/>
    <w:rsid w:val="2E784982"/>
    <w:rsid w:val="2F05720B"/>
    <w:rsid w:val="2F5525B8"/>
    <w:rsid w:val="3005551A"/>
    <w:rsid w:val="305E347C"/>
    <w:rsid w:val="315A4443"/>
    <w:rsid w:val="32321F4A"/>
    <w:rsid w:val="35D54033"/>
    <w:rsid w:val="362D0BED"/>
    <w:rsid w:val="3858002E"/>
    <w:rsid w:val="38BD6CF2"/>
    <w:rsid w:val="3B521884"/>
    <w:rsid w:val="3C0A3BFA"/>
    <w:rsid w:val="3CA531F9"/>
    <w:rsid w:val="3D804BCF"/>
    <w:rsid w:val="3D980103"/>
    <w:rsid w:val="3D9C3AB4"/>
    <w:rsid w:val="3DF31B27"/>
    <w:rsid w:val="3F6F2CFC"/>
    <w:rsid w:val="406C10DE"/>
    <w:rsid w:val="40F86051"/>
    <w:rsid w:val="414F4819"/>
    <w:rsid w:val="41665C24"/>
    <w:rsid w:val="41B712DB"/>
    <w:rsid w:val="4399199B"/>
    <w:rsid w:val="444E50F0"/>
    <w:rsid w:val="447714BC"/>
    <w:rsid w:val="460E5032"/>
    <w:rsid w:val="464A0790"/>
    <w:rsid w:val="46BB4D55"/>
    <w:rsid w:val="47F24CEE"/>
    <w:rsid w:val="49BB6283"/>
    <w:rsid w:val="4B555014"/>
    <w:rsid w:val="4B7E6676"/>
    <w:rsid w:val="4C5454E4"/>
    <w:rsid w:val="4E6578B4"/>
    <w:rsid w:val="4EC64327"/>
    <w:rsid w:val="4F146096"/>
    <w:rsid w:val="4FE87B1E"/>
    <w:rsid w:val="507C2146"/>
    <w:rsid w:val="507E15A2"/>
    <w:rsid w:val="5092008F"/>
    <w:rsid w:val="52010488"/>
    <w:rsid w:val="522908CD"/>
    <w:rsid w:val="526B4A52"/>
    <w:rsid w:val="528D6ED3"/>
    <w:rsid w:val="52B751B6"/>
    <w:rsid w:val="52D76AD0"/>
    <w:rsid w:val="52F409C5"/>
    <w:rsid w:val="53DB4180"/>
    <w:rsid w:val="53E469DB"/>
    <w:rsid w:val="543C2634"/>
    <w:rsid w:val="54532EC8"/>
    <w:rsid w:val="54751090"/>
    <w:rsid w:val="54C57D30"/>
    <w:rsid w:val="551A582F"/>
    <w:rsid w:val="56C63772"/>
    <w:rsid w:val="5AD51449"/>
    <w:rsid w:val="5C2A3411"/>
    <w:rsid w:val="5E1D2B9B"/>
    <w:rsid w:val="5E7C1EA3"/>
    <w:rsid w:val="5EC42FB6"/>
    <w:rsid w:val="5F217F90"/>
    <w:rsid w:val="61837A2E"/>
    <w:rsid w:val="62A0536D"/>
    <w:rsid w:val="62EE56D3"/>
    <w:rsid w:val="643200B2"/>
    <w:rsid w:val="6732696D"/>
    <w:rsid w:val="68743F2E"/>
    <w:rsid w:val="68E8299E"/>
    <w:rsid w:val="69D2139A"/>
    <w:rsid w:val="6AC6750C"/>
    <w:rsid w:val="6B105195"/>
    <w:rsid w:val="6B8B4AEA"/>
    <w:rsid w:val="6C922D41"/>
    <w:rsid w:val="6CDA0259"/>
    <w:rsid w:val="6FB55F28"/>
    <w:rsid w:val="70922980"/>
    <w:rsid w:val="70981FE8"/>
    <w:rsid w:val="70C25553"/>
    <w:rsid w:val="70DC6EA1"/>
    <w:rsid w:val="71203351"/>
    <w:rsid w:val="718A1D8A"/>
    <w:rsid w:val="723D7575"/>
    <w:rsid w:val="727F4C78"/>
    <w:rsid w:val="72B72541"/>
    <w:rsid w:val="74D61139"/>
    <w:rsid w:val="74D83B89"/>
    <w:rsid w:val="75F07DF0"/>
    <w:rsid w:val="763D3358"/>
    <w:rsid w:val="779652B3"/>
    <w:rsid w:val="78410AD3"/>
    <w:rsid w:val="78823D66"/>
    <w:rsid w:val="78A07527"/>
    <w:rsid w:val="78FB78F0"/>
    <w:rsid w:val="7932081E"/>
    <w:rsid w:val="79604AAC"/>
    <w:rsid w:val="798F5C97"/>
    <w:rsid w:val="7BF8726F"/>
    <w:rsid w:val="7C811052"/>
    <w:rsid w:val="7C8F5623"/>
    <w:rsid w:val="7CE276CD"/>
    <w:rsid w:val="7D1731C2"/>
    <w:rsid w:val="7E2663FB"/>
    <w:rsid w:val="7E32706B"/>
    <w:rsid w:val="7E3379ED"/>
    <w:rsid w:val="7F5A2F41"/>
    <w:rsid w:val="7FE715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9"/>
    <w:pPr>
      <w:keepNext/>
      <w:keepLines/>
      <w:spacing w:line="560" w:lineRule="exact"/>
      <w:ind w:firstLine="880" w:firstLineChars="200"/>
      <w:outlineLvl w:val="0"/>
    </w:pPr>
    <w:rPr>
      <w:rFonts w:ascii="Times New Roman" w:hAnsi="Times New Roman" w:eastAsia="黑体" w:cs="黑体"/>
      <w:color w:val="000000"/>
      <w:kern w:val="2"/>
      <w:sz w:val="28"/>
      <w:szCs w:val="22"/>
      <w:lang w:val="en-US" w:eastAsia="zh-CN" w:bidi="ar-SA"/>
    </w:rPr>
  </w:style>
  <w:style w:type="paragraph" w:styleId="3">
    <w:name w:val="heading 2"/>
    <w:basedOn w:val="1"/>
    <w:next w:val="1"/>
    <w:unhideWhenUsed/>
    <w:qFormat/>
    <w:uiPriority w:val="9"/>
    <w:pPr>
      <w:keepNext/>
      <w:keepLines/>
      <w:spacing w:line="560" w:lineRule="exact"/>
      <w:ind w:firstLine="880" w:firstLineChars="200"/>
      <w:outlineLvl w:val="1"/>
    </w:pPr>
    <w:rPr>
      <w:rFonts w:ascii="Times New Roman" w:hAnsi="Times New Roman" w:eastAsia="黑体"/>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Indent"/>
    <w:basedOn w:val="1"/>
    <w:link w:val="22"/>
    <w:qFormat/>
    <w:uiPriority w:val="0"/>
    <w:pPr>
      <w:spacing w:line="400" w:lineRule="exact"/>
      <w:ind w:firstLine="420"/>
    </w:pPr>
    <w:rPr>
      <w:rFonts w:ascii="Times New Roman" w:hAnsi="Times New Roman" w:eastAsia="宋体" w:cs="Times New Roman"/>
      <w:sz w:val="24"/>
      <w:szCs w:val="20"/>
    </w:rPr>
  </w:style>
  <w:style w:type="paragraph" w:styleId="6">
    <w:name w:val="Plain Text"/>
    <w:basedOn w:val="1"/>
    <w:semiHidden/>
    <w:qFormat/>
    <w:uiPriority w:val="0"/>
    <w:rPr>
      <w:rFonts w:ascii="宋体" w:hAnsi="Courier New"/>
      <w:szCs w:val="21"/>
    </w:rPr>
  </w:style>
  <w:style w:type="paragraph" w:styleId="7">
    <w:name w:val="Balloon Text"/>
    <w:basedOn w:val="1"/>
    <w:link w:val="24"/>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Emphasis"/>
    <w:basedOn w:val="14"/>
    <w:qFormat/>
    <w:uiPriority w:val="20"/>
    <w:rPr>
      <w:i/>
    </w:rPr>
  </w:style>
  <w:style w:type="character" w:styleId="17">
    <w:name w:val="Hyperlink"/>
    <w:basedOn w:val="14"/>
    <w:unhideWhenUsed/>
    <w:qFormat/>
    <w:uiPriority w:val="99"/>
    <w:rPr>
      <w:color w:val="0000FF"/>
      <w:u w:val="single"/>
    </w:rPr>
  </w:style>
  <w:style w:type="character" w:styleId="18">
    <w:name w:val="annotation reference"/>
    <w:basedOn w:val="14"/>
    <w:semiHidden/>
    <w:unhideWhenUsed/>
    <w:qFormat/>
    <w:uiPriority w:val="99"/>
    <w:rPr>
      <w:sz w:val="21"/>
      <w:szCs w:val="21"/>
    </w:rPr>
  </w:style>
  <w:style w:type="character" w:customStyle="1" w:styleId="19">
    <w:name w:val="页眉 字符"/>
    <w:basedOn w:val="14"/>
    <w:link w:val="9"/>
    <w:qFormat/>
    <w:uiPriority w:val="99"/>
    <w:rPr>
      <w:sz w:val="18"/>
      <w:szCs w:val="18"/>
    </w:rPr>
  </w:style>
  <w:style w:type="character" w:customStyle="1" w:styleId="20">
    <w:name w:val="页脚 字符"/>
    <w:basedOn w:val="14"/>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正文文本缩进 字符"/>
    <w:basedOn w:val="14"/>
    <w:link w:val="5"/>
    <w:qFormat/>
    <w:uiPriority w:val="0"/>
    <w:rPr>
      <w:rFonts w:ascii="Times New Roman" w:hAnsi="Times New Roman" w:eastAsia="宋体" w:cs="Times New Roman"/>
      <w:sz w:val="24"/>
      <w:szCs w:val="20"/>
    </w:rPr>
  </w:style>
  <w:style w:type="character" w:customStyle="1" w:styleId="23">
    <w:name w:val="未处理的提及1"/>
    <w:basedOn w:val="14"/>
    <w:semiHidden/>
    <w:unhideWhenUsed/>
    <w:qFormat/>
    <w:uiPriority w:val="99"/>
    <w:rPr>
      <w:color w:val="605E5C"/>
      <w:shd w:val="clear" w:color="auto" w:fill="E1DFDD"/>
    </w:rPr>
  </w:style>
  <w:style w:type="character" w:customStyle="1" w:styleId="24">
    <w:name w:val="批注框文本 字符"/>
    <w:basedOn w:val="14"/>
    <w:link w:val="7"/>
    <w:semiHidden/>
    <w:qFormat/>
    <w:uiPriority w:val="99"/>
    <w:rPr>
      <w:rFonts w:asciiTheme="minorHAnsi" w:hAnsiTheme="minorHAnsi" w:eastAsiaTheme="minorEastAsia" w:cstheme="minorBidi"/>
      <w:kern w:val="2"/>
      <w:sz w:val="18"/>
      <w:szCs w:val="18"/>
    </w:rPr>
  </w:style>
  <w:style w:type="character" w:customStyle="1" w:styleId="25">
    <w:name w:val="批注文字 字符"/>
    <w:basedOn w:val="14"/>
    <w:link w:val="4"/>
    <w:semiHidden/>
    <w:qFormat/>
    <w:uiPriority w:val="99"/>
    <w:rPr>
      <w:rFonts w:asciiTheme="minorHAnsi" w:hAnsiTheme="minorHAnsi" w:eastAsiaTheme="minorEastAsia" w:cstheme="minorBidi"/>
      <w:kern w:val="2"/>
      <w:sz w:val="21"/>
      <w:szCs w:val="22"/>
    </w:rPr>
  </w:style>
  <w:style w:type="character" w:customStyle="1" w:styleId="26">
    <w:name w:val="批注主题 字符"/>
    <w:basedOn w:val="25"/>
    <w:link w:val="11"/>
    <w:semiHidden/>
    <w:qFormat/>
    <w:uiPriority w:val="99"/>
    <w:rPr>
      <w:rFonts w:asciiTheme="minorHAnsi" w:hAnsiTheme="minorHAnsi" w:eastAsiaTheme="minorEastAsia" w:cstheme="minorBidi"/>
      <w:b/>
      <w:bCs/>
      <w:kern w:val="2"/>
      <w:sz w:val="21"/>
      <w:szCs w:val="22"/>
    </w:rPr>
  </w:style>
  <w:style w:type="paragraph" w:customStyle="1" w:styleId="27">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5768</Words>
  <Characters>17419</Characters>
  <Lines>190</Lines>
  <Paragraphs>53</Paragraphs>
  <TotalTime>0</TotalTime>
  <ScaleCrop>false</ScaleCrop>
  <LinksUpToDate>false</LinksUpToDate>
  <CharactersWithSpaces>19537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2022-03-17T12:11:00Z</dcterms:created>
  <dc:creator>未定义</dc:creator>
  <cp:lastModifiedBy>吕逸新</cp:lastModifiedBy>
  <cp:lastPrinted>2020-11-24T13:37:00Z</cp:lastPrinted>
  <dcterms:modified xsi:type="dcterms:W3CDTF">2025-09-02T00:56:47Z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0754D3D3D7C747BDB88BAE992A093681_13</vt:lpwstr>
  </property>
  <property fmtid="{D5CDD505-2E9C-101B-9397-08002B2CF9AE}" pid="4" name="KSOTemplateDocerSaveRecord">
    <vt:lpwstr>eyJoZGlkIjoiMzM4NDBkYTMyNDZjNWY1Yzg0ZWNjYjg4ZTBiZjRlZDIiLCJ1c2VySWQiOiI1NjQ3OTgyNzMifQ==</vt:lpwstr>
  </property>
</Properties>
</file>